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13d0" w14:textId="1961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флот кемелерінің жанар-жағармай материалдарын жұмсау (заттай мәндегі) нормаларын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10 маусымдағы № 382 бұйрығы. Қазақстан Республикасының Әділет министрлігінде 2019 жылғы 11 маусымда № 18830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"Ішкі су көлігі туралы" 2004 жылғы 6 шілдедегі Қазақстан Республикасы Заңының 9-бабы 1-тармағының </w:t>
      </w:r>
      <w:r>
        <w:rPr>
          <w:rFonts w:ascii="Times New Roman"/>
          <w:b w:val="false"/>
          <w:i w:val="false"/>
          <w:color w:val="000000"/>
          <w:sz w:val="28"/>
        </w:rPr>
        <w:t>26-31)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техникалық флот кемелерінің жанар-жағармай материалдарын жұмсау (заттай мәндегі)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382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Мемлекеттік техникалық флот кемелерінің жанар-жағармай материалдары шығыстарының нормалары (заттай көріністе)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03"/>
        <w:gridCol w:w="2050"/>
        <w:gridCol w:w="463"/>
        <w:gridCol w:w="1754"/>
        <w:gridCol w:w="1665"/>
        <w:gridCol w:w="1813"/>
        <w:gridCol w:w="1635"/>
        <w:gridCol w:w="1709"/>
      </w:tblGrid>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жобасы</w:t>
            </w:r>
          </w:p>
        </w:tc>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қоөғалтқыш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Grandezza-28WA</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 PENTA HC-45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 PENTA HC-45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WD618C-22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WD618C-22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ЛС56А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WD10C190-15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ТСК-451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 (брашпиль)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171-90-100ПС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ZC195 diselenqine</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25м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w:t>
            </w:r>
            <w:r>
              <w:br/>
            </w:r>
            <w:r>
              <w:rPr>
                <w:rFonts w:ascii="Times New Roman"/>
                <w:b w:val="false"/>
                <w:i w:val="false"/>
                <w:color w:val="000000"/>
                <w:sz w:val="20"/>
              </w:rPr>
              <w:t>
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5м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 ZLCA-2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8190ZLCA-2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4Ч11/12,5 (ММЗ Д-246.1)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KOAB-68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ADR-22 "cummins" X2.5G2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 ZLCZ3-2R</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ADR-68 "cummins" S3.8G7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ADR-22 "cummins" X2.5G1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82670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Doosan AD180TIF</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Doosan AD180TIF</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Doosan AD136F</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ЛС56Б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ZLC1-2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ЯМЗ-238НД4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6S160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AJD-33 "cummins"</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CY490D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KOAB-68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82710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Deutz BF4M2012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 KSO-50R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Эпроновец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ADR-22 "cummins" X2.5G1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ADR-22 "cummins" X2.5G2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ЯМЗ-238НД 4-4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Webasto AIR TOP 5000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ТСК.420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 7514.10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ЯМЗ7514.10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Д-246.1-83М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Д-246.1-83М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КС-100Д</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КС-102-08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ADR-22 "cummins" X2.5G2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КПЛ-978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6Ч23/30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Чокан Валиханов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697ДБ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6ЧНСП 18/22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4Ч8,5/11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ADR-22 "cummins" X2.5G2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4Ч8,5/11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215/911Б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ЯМЗ-238НД-2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ЯМЗ-238НД-2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6Ч11/12,5 (ММЗ Д-246.1)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ADR-33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К-63Э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Карентаев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ZLCA-2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ZLCA-2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ДГР2А 16/1500 М4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KOAB-63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ГТМ-80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6ЧНС П18/22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Д-246.4-87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ADR-22 "cummins" X2.5G2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ЗГЭ-81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8628Д1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SDMO E16K</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Верещагин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395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 7514.10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 7514.10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Д-246.1-83М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Д-246.1-83М</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КС-110-34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ЯМЗ-238НД4-4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Webasto AIR TOP EVO 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КС-110-78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 Penta D7C TA</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Volvo Penta D7C TA</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EDA 5000E</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Webasto AIR 5000E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Путеец-1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453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ЯМЗ-238Д-2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 2TNV70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Eberspacher AIRTRONIC M D4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Путеец-2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 453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ЯМЗ-238Д-2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 2TNV70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Eberspacher AIRTRONIC M D4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Нефтеналивная баржа 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ТСК,460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4Ч11/12,5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Баржа МПО-201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4ЧН 11/12,5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2Ч10,5/13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 қайығы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15M SEA PRO</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YAMAHA-75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Tohatsu-18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Tohatsu-M40C</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РМ-376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Firman SDG</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PCD-5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Путеец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Firman SDG</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ТСК-503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Firman SDG</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Р-100 (Р-148)</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Дуслык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376УС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376УС</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ЯМЗ-8401.10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ЯМЗ-236М2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ЯМЗ-236М2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ТСК.525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ЯМЗ-7514.10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ЯМЗ-236М2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ТСК.525.1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ЯМЗ-7514.10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ЯМЗ-236М2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Д-246.1.009 (Элкон)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 Turbo-30R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Kipor KD2V86F</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 KSO-50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Д-246.1.009 (Элкон)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 KSO-50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ТСК.475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ТСК.475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Мотоза-возня-5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Мотозавозня-8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Мотозавозня-9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ТСК.425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ЯМЗ236М2-1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Каныш Сатпаев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ТСК.450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 4TNV88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 Turbo-21R</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3Д6С2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3Д6С2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3Д6С2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3Д6С2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3Д6С2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ЯМЗ-238Д2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ЯМЗ-238Д3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БМК-126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БМК-130М</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ЯАЗ-204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Гибадат Мусалимов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3Д6С2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4Ч8,5/11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КПЛ-5-30 №933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6Ч23/30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Карчекран-1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Д-243-91М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Карчекран-2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Тархан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ТСК.452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ЯМЗ-238Д2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В6190ZLCA-2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В6190ZLCA-2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Д-243-91М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4Ч10,5/13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 KSO-50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Вихрь-30 Электрон</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Нептун-23Э</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Suzuki DТ15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Tohatsu 9.8В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 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8ЧСПН 18/22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8ЧСПН 18/22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TD226B-3CD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TD226B-6C</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ДГР- АДС18-ТЯ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B6190ZLCD-2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WD615/68CD</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6S110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Р-010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B6190ZLCD-2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WD615/68CD</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6S110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TD226B-6C</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ДГР- АДС14-ТЯ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ТСК.415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Х6170ZC300-1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Х6170ZC300-1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246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ТСК.452.1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 238Д2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ДРА-140/1500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К6Э</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КПЛ-62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B6190ZLCD-2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TBD226B-6CD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TD226B-3CD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ТСК.270</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WD10C278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WD10C278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TD226B-3CD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БТК-630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В6190ZLCA-2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В6190ZLCA-2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6Ч12/14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WP4CD</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KSO-70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WD615/C-24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WD615/C-24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WD615/C-24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WD615/C-24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ТСК.26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D226B-3CD</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Брандвахта 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Kiturami-30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TD226B-3C</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TD226B-3C</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КПМ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TD226B-3C</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Мото-лодка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KD2V86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ДРА-90/1500 (1,94) -РД 1171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 М2-2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 М2-2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ДРА-90/1500 (1,94) -РД 1171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 М2-2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 М2-2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Вымпел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 М2-2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81355.1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ЯМЗ-238ГМ2БРР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ЯМЗ-238ГМ2БРР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 10, 5/13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Путейский-4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Т-101-Б</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К-161 М2-2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ТСК-385</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ЯМЗ-7514.10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ЗГН-4Д /1600А</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ЯМЗ-238М2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ТСК.300р</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 238М2-4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АДА7-230РЯ2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Yanmar 2TNV70-HGE</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 тазарту краны СДК-2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6ЧСП 12/14 (К-161М2)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 12/14 (К-161М2)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ДГР-20/1500-РД 1143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Плавкран ПК-1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 23/30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6Ч 12/14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Тайфун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Р-376У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4Ч8,5/11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2Ч8,5/11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КС-100А (КСМ99)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ЯМЗ-238Г</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Mercury-40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YAMAHA-30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қайық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АИ-92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Tohatsu-18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121"/>
        <w:gridCol w:w="1121"/>
        <w:gridCol w:w="1122"/>
        <w:gridCol w:w="1122"/>
        <w:gridCol w:w="698"/>
        <w:gridCol w:w="1122"/>
        <w:gridCol w:w="1122"/>
        <w:gridCol w:w="1122"/>
        <w:gridCol w:w="1122"/>
        <w:gridCol w:w="912"/>
        <w:gridCol w:w="912"/>
      </w:tblGrid>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(паспорттық) Шығыс, кг/э. л. с.сағ. QУД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(паспорттық) қуаты, э. л. с.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қуатын пайдалану коэффициенті, KN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қоөғалтқыш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қоөғалтқыш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қоөғалтқыш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029"/>
        <w:gridCol w:w="1029"/>
        <w:gridCol w:w="1029"/>
        <w:gridCol w:w="1029"/>
        <w:gridCol w:w="1029"/>
        <w:gridCol w:w="1267"/>
        <w:gridCol w:w="1029"/>
        <w:gridCol w:w="790"/>
        <w:gridCol w:w="790"/>
        <w:gridCol w:w="790"/>
        <w:gridCol w:w="790"/>
        <w:gridCol w:w="790"/>
      </w:tblGrid>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қуатын пайдалану коэффициенті, KN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отынының агрегаттық шығыны, QДВАГР (КГ/сағ) (бензин қозғалтқыштары үшін Л / сағ)</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шығыны, отын шығынынан % -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қоөғалтқыш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қоөғалтқыш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қозғалтқыш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9"/>
    <w:p>
      <w:pPr>
        <w:spacing w:after="0"/>
        <w:ind w:left="0"/>
        <w:jc w:val="both"/>
      </w:pPr>
      <w:r>
        <w:rPr>
          <w:rFonts w:ascii="Times New Roman"/>
          <w:b w:val="false"/>
          <w:i w:val="false"/>
          <w:color w:val="000000"/>
          <w:sz w:val="28"/>
        </w:rPr>
        <w:t>
      Ескертпе:</w:t>
      </w:r>
    </w:p>
    <w:bookmarkEnd w:id="9"/>
    <w:bookmarkStart w:name="z12" w:id="10"/>
    <w:p>
      <w:pPr>
        <w:spacing w:after="0"/>
        <w:ind w:left="0"/>
        <w:jc w:val="both"/>
      </w:pPr>
      <w:r>
        <w:rPr>
          <w:rFonts w:ascii="Times New Roman"/>
          <w:b w:val="false"/>
          <w:i w:val="false"/>
          <w:color w:val="000000"/>
          <w:sz w:val="28"/>
        </w:rPr>
        <w:t>
      1. Отынның агрегаттық шығыны әрбір нақты отын-тұтынатын агрегат (басты немесе көмекші қозғалтқыш немесе әрбір жеке кеменің жылыту қазандығы) үшін табиғи отынның паспорттық үлестік шығынын, агрегаттың қуатын пайдалану коэффициентін, қозғалтқыштың номиналды қуатын қамтиды. Отын салмағын көлемге ауыстыру коэффициенті отын жеткізушінің техникалық шарттары бойынша қабылданады.</w:t>
      </w:r>
    </w:p>
    <w:bookmarkEnd w:id="10"/>
    <w:bookmarkStart w:name="z13" w:id="11"/>
    <w:p>
      <w:pPr>
        <w:spacing w:after="0"/>
        <w:ind w:left="0"/>
        <w:jc w:val="both"/>
      </w:pPr>
      <w:r>
        <w:rPr>
          <w:rFonts w:ascii="Times New Roman"/>
          <w:b w:val="false"/>
          <w:i w:val="false"/>
          <w:color w:val="000000"/>
          <w:sz w:val="28"/>
        </w:rPr>
        <w:t xml:space="preserve">
      2. Басты және қосалқы қозғалтқыштар үшін отынның агрегаттық шығыны: </w:t>
      </w:r>
    </w:p>
    <w:bookmarkEnd w:id="1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нақты қозғалтқыш үшін отынның агрегаттық шығыны, (кг / сағ);</w:t>
      </w:r>
      <w:r>
        <w:br/>
      </w:r>
      <w:r>
        <w:rPr>
          <w:rFonts w:ascii="Times New Roman"/>
          <w:b w:val="false"/>
          <w:i w:val="false"/>
          <w:color w:val="000000"/>
          <w:sz w:val="28"/>
        </w:rPr>
        <w:t>
</w:t>
      </w:r>
      <w:r>
        <w:br/>
      </w:r>
    </w:p>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нақты қозғалтқыш отынының үлестік (паспорттық) шығысы, (бағ./э. л. с. сағ.);</w:t>
      </w:r>
      <w:r>
        <w:br/>
      </w:r>
      <w:r>
        <w:rPr>
          <w:rFonts w:ascii="Times New Roman"/>
          <w:b w:val="false"/>
          <w:i w:val="false"/>
          <w:color w:val="000000"/>
          <w:sz w:val="28"/>
        </w:rPr>
        <w:t>
</w:t>
      </w:r>
      <w:r>
        <w:br/>
      </w:r>
    </w:p>
    <w:p>
      <w:pPr>
        <w:spacing w:after="0"/>
        <w:ind w:left="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нақты қозғалтқыштың номиналды (паспорттық) қуаты, (э. л. с.);</w:t>
      </w:r>
      <w:r>
        <w:br/>
      </w:r>
      <w:r>
        <w:rPr>
          <w:rFonts w:ascii="Times New Roman"/>
          <w:b w:val="false"/>
          <w:i w:val="false"/>
          <w:color w:val="000000"/>
          <w:sz w:val="28"/>
        </w:rPr>
        <w:t>
</w:t>
      </w:r>
      <w:r>
        <w:br/>
      </w:r>
    </w:p>
    <w:p>
      <w:pPr>
        <w:spacing w:after="0"/>
        <w:ind w:left="0"/>
        <w:jc w:val="both"/>
      </w:pPr>
      <w:r>
        <w:drawing>
          <wp:inline distT="0" distB="0" distL="0" distR="0">
            <wp:extent cx="266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агрегаттың қуатын пайдалану коэффициенті (агрегаттың нақты жүктелуінің оның номиналды қуатына қатынасын көрсетеді). Коэффициенттің мәні жүктеме бойынша агрегатты пайдаланудың нақты жағдайларына байланысты болады және агрегатқа нақты жүктеме кезінде отынның нақты шығысының (алдыңғы 3 навигация үшін) мәні бойынша айқындалатын номиналды паспорттық шығыстарға қатынасы ретінде қозғалтқыштың статистикалық есептік материалдары мен паспорттық сипаттамалары негізінде белгіленеді:</w:t>
      </w:r>
      <w:r>
        <w:br/>
      </w:r>
      <w:r>
        <w:rPr>
          <w:rFonts w:ascii="Times New Roman"/>
          <w:b w:val="false"/>
          <w:i w:val="false"/>
          <w:color w:val="000000"/>
          <w:sz w:val="28"/>
        </w:rPr>
        <w:t>
</w:t>
      </w:r>
      <w:r>
        <w:br/>
      </w:r>
    </w:p>
    <w:p>
      <w:pPr>
        <w:spacing w:after="0"/>
        <w:ind w:left="0"/>
        <w:jc w:val="both"/>
      </w:pPr>
      <w:r>
        <w:drawing>
          <wp:inline distT="0" distB="0" distL="0" distR="0">
            <wp:extent cx="1701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018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8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алдыңғы 3 навигация үшін нақты агрегат бойынша отынның орташа белгіленген нақты шығысы (алдыңғы 3 навигация үшін отын шығысының орташаланған мәні ретінде алынады):</w:t>
      </w:r>
      <w:r>
        <w:br/>
      </w:r>
      <w:r>
        <w:rPr>
          <w:rFonts w:ascii="Times New Roman"/>
          <w:b w:val="false"/>
          <w:i w:val="false"/>
          <w:color w:val="000000"/>
          <w:sz w:val="28"/>
        </w:rPr>
        <w:t>
</w:t>
      </w:r>
      <w:r>
        <w:br/>
      </w:r>
    </w:p>
    <w:p>
      <w:pPr>
        <w:spacing w:after="0"/>
        <w:ind w:left="0"/>
        <w:jc w:val="both"/>
      </w:pPr>
      <w:r>
        <w:drawing>
          <wp:inline distT="0" distB="0" distL="0" distR="0">
            <wp:extent cx="189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92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39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нақты агрегат бойынша тиісті навигация ішінде нақты жұмыс істеген уақытқа навигация үшін нақты тұтынылған отынның қатынасы ретінде анықталатын тиісті алдыңғы навигацияның шығыстары (кг/сағ). Есептеу үшін деректер отынды тұтыну есебі немесе машина журналдары негізінде қабылданады.</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Қолданыстағы кемелерге оларды жаңғырту, қайта жаңарту немесе күрделі жөндеу процесінде орнатылған жаңа кемелер немесе отын тұтынатын агрегаттар үшін және аталған статистикалық ақпараттың салдарынан болмауы пайдаланудың алғашқы үш жылы ішінде пайдаланудың ұқсас режимі бар агрегаттар үшін есептелген қозғалтқыш қуатын пайдалану коэффициенттері қолданылады. Жаңа жылыту қазандықтары үшін оларды пайдаланудың алғашқы үш жылы ішінде </w:t>
      </w:r>
      <w:r>
        <w:rPr>
          <w:rFonts w:ascii="Times New Roman"/>
          <w:b/>
          <w:i w:val="false"/>
          <w:color w:val="000000"/>
          <w:sz w:val="28"/>
        </w:rPr>
        <w:t>kn</w:t>
      </w:r>
      <w:r>
        <w:rPr>
          <w:rFonts w:ascii="Times New Roman"/>
          <w:b w:val="false"/>
          <w:i w:val="false"/>
          <w:color w:val="000000"/>
          <w:sz w:val="28"/>
        </w:rPr>
        <w:t xml:space="preserve"> мәні 1 </w:t>
      </w:r>
      <w:r>
        <w:rPr>
          <w:rFonts w:ascii="Times New Roman"/>
          <w:b/>
          <w:i w:val="false"/>
          <w:color w:val="000000"/>
          <w:sz w:val="28"/>
        </w:rPr>
        <w:t>(kN=1)</w:t>
      </w:r>
      <w:r>
        <w:rPr>
          <w:rFonts w:ascii="Times New Roman"/>
          <w:b w:val="false"/>
          <w:i w:val="false"/>
          <w:color w:val="000000"/>
          <w:sz w:val="28"/>
        </w:rPr>
        <w:t xml:space="preserve"> мәніне тең деп қабылданады. Коэффициенттің есептік мәні нақты жұмысты жүзеге асыру кезіндегі қозғалтқыш айналымы санының номиналды (паспорттық) қозғалтқыш айналымдарының номиналдық (паспорттық) санына арақатынасына қатынасы негізінде анықталады:</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63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63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461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нақты жұмыс кезінде қозғалтқыш білігінің нақты айналым саны (айн / мин);</w:t>
      </w:r>
      <w:r>
        <w:br/>
      </w:r>
      <w:r>
        <w:rPr>
          <w:rFonts w:ascii="Times New Roman"/>
          <w:b w:val="false"/>
          <w:i w:val="false"/>
          <w:color w:val="000000"/>
          <w:sz w:val="28"/>
        </w:rPr>
        <w:t>
</w:t>
      </w:r>
      <w:r>
        <w:br/>
      </w:r>
    </w:p>
    <w:p>
      <w:pPr>
        <w:spacing w:after="0"/>
        <w:ind w:left="0"/>
        <w:jc w:val="both"/>
      </w:pPr>
      <w:r>
        <w:drawing>
          <wp:inline distT="0" distB="0" distL="0" distR="0">
            <wp:extent cx="4191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191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қозғалтқыш білігінің номиналды (паспорттық) айналым саны (айн / мин).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Жылыту қазандары үшін отынның агрегаттық шығыны мынадай формула бойынша анықталады: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8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4859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қазандықтардың жаңа үлгілері үшін оларды пайдаланудың алғашқы үш жылы ішінде 1 жылға тең деп қабылданады.;</w:t>
      </w:r>
      <w:r>
        <w:br/>
      </w:r>
      <w:r>
        <w:rPr>
          <w:rFonts w:ascii="Times New Roman"/>
          <w:b w:val="false"/>
          <w:i w:val="false"/>
          <w:color w:val="000000"/>
          <w:sz w:val="28"/>
        </w:rPr>
        <w:t>
</w:t>
      </w:r>
      <w:r>
        <w:br/>
      </w:r>
    </w:p>
    <w:p>
      <w:pPr>
        <w:spacing w:after="0"/>
        <w:ind w:left="0"/>
        <w:jc w:val="both"/>
      </w:pPr>
      <w:r>
        <w:drawing>
          <wp:inline distT="0" distB="0" distL="0" distR="0">
            <wp:extent cx="266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203200"/>
                    </a:xfrm>
                    <a:prstGeom prst="rect">
                      <a:avLst/>
                    </a:prstGeom>
                  </pic:spPr>
                </pic:pic>
              </a:graphicData>
            </a:graphic>
          </wp:inline>
        </w:drawing>
      </w:r>
    </w:p>
    <w:p>
      <w:pPr>
        <w:spacing w:after="0"/>
        <w:ind w:left="0"/>
        <w:jc w:val="left"/>
      </w:pPr>
      <w:r>
        <w:rPr>
          <w:rFonts w:ascii="Times New Roman"/>
          <w:b w:val="false"/>
          <w:i w:val="false"/>
          <w:color w:val="000000"/>
          <w:sz w:val="28"/>
        </w:rPr>
        <w:t>үш жылдан астам пайдаланудағы қазандықтардың негізгі техникалық параметрлері мен пайдалану шарты бойынша ұқсас үшін есептелген.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Әрбір агрегат бойынша майлау майларын тұтыну коэффициенті қозғалтқыштарды пайдаланудың мынадай кезеңдерімен байланысты:</w:t>
      </w:r>
    </w:p>
    <w:bookmarkEnd w:id="14"/>
    <w:bookmarkStart w:name="z17" w:id="15"/>
    <w:p>
      <w:pPr>
        <w:spacing w:after="0"/>
        <w:ind w:left="0"/>
        <w:jc w:val="both"/>
      </w:pPr>
      <w:r>
        <w:rPr>
          <w:rFonts w:ascii="Times New Roman"/>
          <w:b w:val="false"/>
          <w:i w:val="false"/>
          <w:color w:val="000000"/>
          <w:sz w:val="28"/>
        </w:rPr>
        <w:t>
      1) бірінші навигациямен жұмыс істейтін жаңа немесе күрделі жөнделген қозғалтқыштар үшін (қозғалтқышты пайдаланудың 6-7 айы) – май шығысының паспорттық нормасы қабылданады;</w:t>
      </w:r>
    </w:p>
    <w:bookmarkEnd w:id="15"/>
    <w:bookmarkStart w:name="z18" w:id="16"/>
    <w:p>
      <w:pPr>
        <w:spacing w:after="0"/>
        <w:ind w:left="0"/>
        <w:jc w:val="both"/>
      </w:pPr>
      <w:r>
        <w:rPr>
          <w:rFonts w:ascii="Times New Roman"/>
          <w:b w:val="false"/>
          <w:i w:val="false"/>
          <w:color w:val="000000"/>
          <w:sz w:val="28"/>
        </w:rPr>
        <w:t>
      2) екінші және үшінші навигациядағы пайдаланудағы қозғалтқыштар үшін (пайдаланудың 8-17 айы) май шығысының нормасы қозғалтқышты пайдаланудың әрбір кейінгі 1000 сағатына 2% - ға ұлғайтылады (ұлғаю коэффициенті 0,02);</w:t>
      </w:r>
    </w:p>
    <w:bookmarkEnd w:id="16"/>
    <w:bookmarkStart w:name="z19" w:id="17"/>
    <w:p>
      <w:pPr>
        <w:spacing w:after="0"/>
        <w:ind w:left="0"/>
        <w:jc w:val="both"/>
      </w:pPr>
      <w:r>
        <w:rPr>
          <w:rFonts w:ascii="Times New Roman"/>
          <w:b w:val="false"/>
          <w:i w:val="false"/>
          <w:color w:val="000000"/>
          <w:sz w:val="28"/>
        </w:rPr>
        <w:t>
      3) қозғалтқышты пайдаланудың үш жылынан кейін (пайдаланудың 18 айынан астам) рұқсат етілген тозулары бар қозғалтқыштар үшін нормалар қозғалтқышты пайдаланудың әрбір кейінгі 1000 сағатына 5% - ға ұлғайтылады (ұлғаю коэффициенті 0,05).</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