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e180" w14:textId="fdfe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авиациясында бортсеріктердің жұмысын ұйымдастыру қағидаларын бекіту туралы" Қазақстан Республикасы Инвестициялар және даму министрінің 2015 жылғы 20 наурыздағы № 308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27 маусымдағы № 442 бұйрығы. Қазақстан Республикасының Әділет министрлігінде 2019 жылғы 3 шілдеде № 18966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Осы бұйрық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Ескерту. 01.08.2019 бастап қолданысқа енгізіледі – осы бұйрықтың 4-тармағымен.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азаматтық авиациясында бортсеріктердің жұмысын ұйымдастыру қағидаларын бекіту туралы" Қазақстан Республикасы Инвестициялар және даму министрінің 2015 жылғы 20 наурыздағы № 308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11063 болып тіркелген, 2015 жылғы 18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авиациясында бортсеріктердің жұмысын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"2)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"6. Пайдаланушы халықаралық әуе желілерінде жұмыс үшін бортсеріктердің уәкілетті ұйыммен келісілген бағдарламалар бойынша тиісті даярлаудан өтуін қамтамасыз етеді.";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"8. Пайдаланушы уәкілетті ұйыммен келісілген бортсеріктерді даярлау және қайта даярлау, оның ішінде авиациялық қауіпсіздік бойынша бағдарламаларды орындауды қамтамасыз етеді.</w:t>
      </w:r>
    </w:p>
    <w:bookmarkEnd w:id="6"/>
    <w:bookmarkStart w:name="z10" w:id="7"/>
    <w:p>
      <w:pPr>
        <w:spacing w:after="0"/>
        <w:ind w:left="0"/>
        <w:jc w:val="both"/>
      </w:pPr>
      <w:r>
        <w:rPr>
          <w:rFonts w:ascii="Times New Roman"/>
          <w:b w:val="false"/>
          <w:i w:val="false"/>
          <w:color w:val="000000"/>
          <w:sz w:val="28"/>
        </w:rPr>
        <w:t>
      9. Пайдаланушы жыл сайын әуе кемесінің мәжбүрлі түрде қонуы кезіндегі авариялық жағдайларда әрбір бортсеріктің іс-әрекетін пысықтауды және пайдаланушы әзірлеген және бекіткен әрі уәкілетті ұйыммен келісілген бағдарламалар бойынша оның жабдығын қауіпсіз пайдаланудың рәсімдерін қамтитын бортсеріктерді мерзімдік жаттықтыруды ұйымдастырады және өткізеді.";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 </w:t>
      </w:r>
    </w:p>
    <w:bookmarkStart w:name="z12" w:id="8"/>
    <w:p>
      <w:pPr>
        <w:spacing w:after="0"/>
        <w:ind w:left="0"/>
        <w:jc w:val="both"/>
      </w:pPr>
      <w:r>
        <w:rPr>
          <w:rFonts w:ascii="Times New Roman"/>
          <w:b w:val="false"/>
          <w:i w:val="false"/>
          <w:color w:val="000000"/>
          <w:sz w:val="28"/>
        </w:rPr>
        <w:t>
      "13. Бортсерікке үш үлгіден аспайтын әуе кемелерінде ұшуға рұқсат беріледі. Егер ӘК екі үлгісінде авариялық-құтқару жабдықтары, ӘК үлгісін есепке ала отырып стандарттық және авариялық рәсімдері ұқсас, сондай-ақ ӘК үлгісін есепке ала отырып стандарттық және авариялық рәсімдері бірдей жағдайда әуе кемесінің үлгісін ескермей отырып, төртінші әуе кеме үлгісінде ұшуды орындауға уәкілетті ұйым рұқсат береді.</w:t>
      </w:r>
    </w:p>
    <w:bookmarkEnd w:id="8"/>
    <w:bookmarkStart w:name="z13" w:id="9"/>
    <w:p>
      <w:pPr>
        <w:spacing w:after="0"/>
        <w:ind w:left="0"/>
        <w:jc w:val="both"/>
      </w:pPr>
      <w:r>
        <w:rPr>
          <w:rFonts w:ascii="Times New Roman"/>
          <w:b w:val="false"/>
          <w:i w:val="false"/>
          <w:color w:val="000000"/>
          <w:sz w:val="28"/>
        </w:rPr>
        <w:t>
      14. Ұшудағы үзілістің ұзақтығына байланысты ұшудағы үзілістен кейін әуе кемесінің бортындағы жұмысқа жіберуді пайдаланушы уәкілетті ұйым бекіткен бағдарламалар бойынша жүзеге асырады.";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"20. Пайдаланушы бортсеріктердің ұшудағы практикалық жұмысын тексеруді мынадай мақсатта уәкілетті ұйыммен келісілген бағдарламалар бойынша ұйымдастырады және жүргізеді:</w:t>
      </w:r>
    </w:p>
    <w:bookmarkEnd w:id="10"/>
    <w:p>
      <w:pPr>
        <w:spacing w:after="0"/>
        <w:ind w:left="0"/>
        <w:jc w:val="both"/>
      </w:pPr>
      <w:r>
        <w:rPr>
          <w:rFonts w:ascii="Times New Roman"/>
          <w:b w:val="false"/>
          <w:i w:val="false"/>
          <w:color w:val="000000"/>
          <w:sz w:val="28"/>
        </w:rPr>
        <w:t>
      1) әуе кемесінің бортындағы дербес жұмысқа рұқсат алу;</w:t>
      </w:r>
    </w:p>
    <w:p>
      <w:pPr>
        <w:spacing w:after="0"/>
        <w:ind w:left="0"/>
        <w:jc w:val="both"/>
      </w:pPr>
      <w:r>
        <w:rPr>
          <w:rFonts w:ascii="Times New Roman"/>
          <w:b w:val="false"/>
          <w:i w:val="false"/>
          <w:color w:val="000000"/>
          <w:sz w:val="28"/>
        </w:rPr>
        <w:t>
      2) алты айдан он екі айға дейін ұшу қызметіндегі үзілістен кейін әуе кемесінің бортындағы жұмысқа рұқсат алу;</w:t>
      </w:r>
    </w:p>
    <w:p>
      <w:pPr>
        <w:spacing w:after="0"/>
        <w:ind w:left="0"/>
        <w:jc w:val="both"/>
      </w:pPr>
      <w:r>
        <w:rPr>
          <w:rFonts w:ascii="Times New Roman"/>
          <w:b w:val="false"/>
          <w:i w:val="false"/>
          <w:color w:val="000000"/>
          <w:sz w:val="28"/>
        </w:rPr>
        <w:t>
      3) әуе кемесінің бортында бip жылдан астам және бес жылға дейін ұшу кызметіндегі үзілістен кейін жұмысқа рұқсат алу;</w:t>
      </w:r>
    </w:p>
    <w:p>
      <w:pPr>
        <w:spacing w:after="0"/>
        <w:ind w:left="0"/>
        <w:jc w:val="both"/>
      </w:pPr>
      <w:r>
        <w:rPr>
          <w:rFonts w:ascii="Times New Roman"/>
          <w:b w:val="false"/>
          <w:i w:val="false"/>
          <w:color w:val="000000"/>
          <w:sz w:val="28"/>
        </w:rPr>
        <w:t>
      4) әуе кемесінің бортында бес жылдан астам ұшу кызметіндегі үзілістен кейін жұмысқа рұқсат алу;</w:t>
      </w:r>
    </w:p>
    <w:p>
      <w:pPr>
        <w:spacing w:after="0"/>
        <w:ind w:left="0"/>
        <w:jc w:val="both"/>
      </w:pPr>
      <w:r>
        <w:rPr>
          <w:rFonts w:ascii="Times New Roman"/>
          <w:b w:val="false"/>
          <w:i w:val="false"/>
          <w:color w:val="000000"/>
          <w:sz w:val="28"/>
        </w:rPr>
        <w:t xml:space="preserve">
      5) мамандығы бойынша біліктілігін айқындау немесе растау.". </w:t>
      </w:r>
    </w:p>
    <w:bookmarkStart w:name="z16" w:id="1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17"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2"/>
    <w:bookmarkStart w:name="z18" w:id="13"/>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тиіс.</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2019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