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17cb" w14:textId="f061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 шілдедегі № 470 бұйрығы. Қазақстан Республикасының Әділет министрлігінде 2019 жылғы 4 шілдеде № 18967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2015 жылы 15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"18) ұсыныстарды қарайды және жобалау-сметалық құжаттаманы әзірлеушімен келісе отырып, бекітілген жобалау-сметалық құжаттамаға түбегейлі емес, объектінің конструктивтік схемасына, оның көлемдік-жоспарлау, инженерлік-техникалық немесе технологиялық жобалық шешімдеріне, бекітілген техникалық-экономикалық көрсеткіштерін қозғамайтын өзгерістерді енгізу бойынша шешім қабылдайды, оларды кейіннен ресімдеп, сақтауға тапсырады;";</w:t>
      </w:r>
    </w:p>
    <w:bookmarkEnd w:id="4"/>
    <w:bookmarkStart w:name="z6" w:id="5"/>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 заңнамалық актілерде немесе шартта белгіленген мерзімдерде және тәртіпте нақты орындалған жұмыстарды қабылдауды және оларға ақы төлеуді қамтамасыз етеді.</w:t>
      </w:r>
    </w:p>
    <w:bookmarkEnd w:id="6"/>
    <w:bookmarkStart w:name="z8" w:id="7"/>
    <w:p>
      <w:pPr>
        <w:spacing w:after="0"/>
        <w:ind w:left="0"/>
        <w:jc w:val="both"/>
      </w:pPr>
      <w:r>
        <w:rPr>
          <w:rFonts w:ascii="Times New Roman"/>
          <w:b w:val="false"/>
          <w:i w:val="false"/>
          <w:color w:val="000000"/>
          <w:sz w:val="28"/>
        </w:rPr>
        <w:t>
      Мердiгердiң нақты шығыстары бағаны белгiлеу (сметаны және құрылыс материалдарын, бұйымдарын және құрылымдарын тасымалдау сызбасын жасау) кезiнде есептелгеннен кем болып шыққан жағдайда, тапсырыс беруші, жобалау-сметалық құжаттаманы мердігердің өзi жасаған және/немесе оның тапсырысы бойынша жасалған жағдайларды қоспағанда, шартта көзделген баға бойынша орындалған жұмыс үшін төлем жүргізеді.</w:t>
      </w:r>
    </w:p>
    <w:bookmarkEnd w:id="7"/>
    <w:bookmarkStart w:name="z9" w:id="8"/>
    <w:p>
      <w:pPr>
        <w:spacing w:after="0"/>
        <w:ind w:left="0"/>
        <w:jc w:val="both"/>
      </w:pPr>
      <w:r>
        <w:rPr>
          <w:rFonts w:ascii="Times New Roman"/>
          <w:b w:val="false"/>
          <w:i w:val="false"/>
          <w:color w:val="000000"/>
          <w:sz w:val="28"/>
        </w:rPr>
        <w:t>
      Егер тапсырыс берушінің объектілерінде бірнеше әртүрлі қаржыландыру көздері болса, шығыстар сметасы әрбір инвестордың қаржыландыру көлеміне сәйкес қаражат шығысының пропорциясын сақтай отырып, әрбір инвестормен келісіледі.";</w:t>
      </w:r>
    </w:p>
    <w:bookmarkEnd w:id="8"/>
    <w:bookmarkStart w:name="z10" w:id="9"/>
    <w:p>
      <w:pPr>
        <w:spacing w:after="0"/>
        <w:ind w:left="0"/>
        <w:jc w:val="both"/>
      </w:pPr>
      <w:r>
        <w:rPr>
          <w:rFonts w:ascii="Times New Roman"/>
          <w:b w:val="false"/>
          <w:i w:val="false"/>
          <w:color w:val="000000"/>
          <w:sz w:val="28"/>
        </w:rPr>
        <w:t>
      3-1-қосымша осы бұйрыққа қосымшаға сәйкес редакцияда жазылсын, мемлекеттік тілдегі мәтіні өзгермейді.</w:t>
      </w:r>
    </w:p>
    <w:bookmarkEnd w:id="9"/>
    <w:bookmarkStart w:name="z11"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4" w:id="13"/>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