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3e31" w14:textId="0b73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жөнінде көрсетілген қызметтің көлемін есептеу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592 бұйрығы. Қазақстан Республикасының Әділет министрлігінде 2019 жылғы 1 тамызда № 19167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"Сумен жабдықтау және су бұру жөнінде көрсетілген қызметтің көлемін есептеу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7257 болып тіркелген, "Егемен Қазақстан" газетінің 2011 жылғы 16 қарашадағы № 543-547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"Елді мекендердегі сумен жабдықтаудың және (немесе) су бұрудың көрсетілген қызметтерінің көлемдерін есептеу әдістемесін бекіту туралы";</w:t>
      </w:r>
    </w:p>
    <w:bookmarkEnd w:id="2"/>
    <w:bookmarkStart w:name="z5" w:id="3"/>
    <w:p>
      <w:pPr>
        <w:spacing w:after="0"/>
        <w:ind w:left="0"/>
        <w:jc w:val="both"/>
      </w:pPr>
      <w:r>
        <w:rPr>
          <w:rFonts w:ascii="Times New Roman"/>
          <w:b w:val="false"/>
          <w:i w:val="false"/>
          <w:color w:val="000000"/>
          <w:sz w:val="28"/>
        </w:rPr>
        <w:t>
      кіріспе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92-7-бабының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Елді мекендердегі сумен жабдықтаудың және (немесе) су бұрудың көрсетілген қызметтерінің көлемдерін есептеу әдістемесі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Сумен жабдықтаудың және су бұрудың көрсетілген қызметтерінің көлемдерін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тақырып мынадай редакцияда жазылсын:</w:t>
      </w:r>
    </w:p>
    <w:bookmarkEnd w:id="7"/>
    <w:bookmarkStart w:name="z11" w:id="8"/>
    <w:p>
      <w:pPr>
        <w:spacing w:after="0"/>
        <w:ind w:left="0"/>
        <w:jc w:val="both"/>
      </w:pPr>
      <w:r>
        <w:rPr>
          <w:rFonts w:ascii="Times New Roman"/>
          <w:b w:val="false"/>
          <w:i w:val="false"/>
          <w:color w:val="000000"/>
          <w:sz w:val="28"/>
        </w:rPr>
        <w:t>
      "Елді мекендердегі сумен жабдықтаудың және (немесе) су бұрудың көрсетілген қызметтерінің көлемдерін есептеу әдістемесі";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"1-тарау. Жалпы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"1. Осы Елді мекендердегі сумен жабдықтаудың және (немесе) су бұрудың көрсетілген қызметтерінің көлемдерін есептеу әдістемесі (бұдан әрі – Әдістеме) 2003 жылғы 9 шілдедегі Қазақстан Республикасы Су Кодексінің 92-7-бабының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сумен жабдықтау және су бұру қызметтерін пайдаланатын жеке немесе заңды тұлғаларға және жеке кәсіпкерлерге (бұдан әрі – тұтынушыларға) елді мекендердің сумен жабдықтау және су бұру жүйесін пайдаланушы ұйымдар (бұдан әрі – көрсетілетін қызмет беруші) көрсетілген қызметтерінің көлемдерін анықтау кезінде бірыңғай ұстанымды қамтамасыз ету мақсатында әзірленді.</w:t>
      </w:r>
    </w:p>
    <w:bookmarkEnd w:id="10"/>
    <w:p>
      <w:pPr>
        <w:spacing w:after="0"/>
        <w:ind w:left="0"/>
        <w:jc w:val="both"/>
      </w:pPr>
      <w:r>
        <w:rPr>
          <w:rFonts w:ascii="Times New Roman"/>
          <w:b w:val="false"/>
          <w:i w:val="false"/>
          <w:color w:val="000000"/>
          <w:sz w:val="28"/>
        </w:rPr>
        <w:t>
      Осы Әдістеме көрсетілетін қызметті беруші тұтынушыға төлеу үшін шот ұсынған жағдайда сумен жабдықтаудың және су бұрудың көрсетілген қызметтерінің көлемдерін айқындау тәртібін көздейді.</w:t>
      </w:r>
    </w:p>
    <w:bookmarkStart w:name="z16" w:id="11"/>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11"/>
    <w:p>
      <w:pPr>
        <w:spacing w:after="0"/>
        <w:ind w:left="0"/>
        <w:jc w:val="both"/>
      </w:pPr>
      <w:r>
        <w:rPr>
          <w:rFonts w:ascii="Times New Roman"/>
          <w:b w:val="false"/>
          <w:i w:val="false"/>
          <w:color w:val="000000"/>
          <w:sz w:val="28"/>
        </w:rPr>
        <w:t>
      1)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2)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 (бұдан әрі – көрсетілетін қызметті беруші);</w:t>
      </w:r>
    </w:p>
    <w:p>
      <w:pPr>
        <w:spacing w:after="0"/>
        <w:ind w:left="0"/>
        <w:jc w:val="both"/>
      </w:pPr>
      <w:r>
        <w:rPr>
          <w:rFonts w:ascii="Times New Roman"/>
          <w:b w:val="false"/>
          <w:i w:val="false"/>
          <w:color w:val="000000"/>
          <w:sz w:val="28"/>
        </w:rPr>
        <w:t>
      3) су құбырын енгізу – қосылу нүктесіндегі тиекті арматурасы бар құдықты қоса алғанда, сумен жабдықтаудың тарату желісінен ғимараттағы бірінші ысырмаға дейінгі құбыржол;</w:t>
      </w:r>
    </w:p>
    <w:p>
      <w:pPr>
        <w:spacing w:after="0"/>
        <w:ind w:left="0"/>
        <w:jc w:val="both"/>
      </w:pPr>
      <w:r>
        <w:rPr>
          <w:rFonts w:ascii="Times New Roman"/>
          <w:b w:val="false"/>
          <w:i w:val="false"/>
          <w:color w:val="000000"/>
          <w:sz w:val="28"/>
        </w:rPr>
        <w:t>
      4) өздігінен ағатын құбыржолының толық өткізу қабілеттілігі – бар еңістігі мен 1,0 d (d – құбырдың ішкі диаметрі) толған және тәулігіне 24 сағат бойы әрекет ету кезінде сарқынды су қозғалысының жылдамдығы секундына 1 метр кезінде құбыржолы бойынша өткізілетін сарқынды су шығыны;</w:t>
      </w:r>
    </w:p>
    <w:p>
      <w:pPr>
        <w:spacing w:after="0"/>
        <w:ind w:left="0"/>
        <w:jc w:val="both"/>
      </w:pPr>
      <w:r>
        <w:rPr>
          <w:rFonts w:ascii="Times New Roman"/>
          <w:b w:val="false"/>
          <w:i w:val="false"/>
          <w:color w:val="000000"/>
          <w:sz w:val="28"/>
        </w:rPr>
        <w:t>
      5) пайдалану жауапкершілігін бөлу шекарасы – тараптардың келісімімен белгіленетін, міндеттер (оларды пайдалану жауапкершілігі) сумен жабдықтау және су бұру жүйелерінің элементтерін белгісі бойынша бөлу орны. Мұндай келісім болмаған кезде, пайдалану жауапкершілігінің шекарасы баланста тиесілінті бөлу шекарасы бойынша белгіленеді;</w:t>
      </w:r>
    </w:p>
    <w:p>
      <w:pPr>
        <w:spacing w:after="0"/>
        <w:ind w:left="0"/>
        <w:jc w:val="both"/>
      </w:pPr>
      <w:r>
        <w:rPr>
          <w:rFonts w:ascii="Times New Roman"/>
          <w:b w:val="false"/>
          <w:i w:val="false"/>
          <w:color w:val="000000"/>
          <w:sz w:val="28"/>
        </w:rPr>
        <w:t>
      6) су бұрудың оқшау тазартқыш құрылыстары – су тұтынушының өзінің сарқынды суларын тазартуға арналған құрылыстары мен құрылғыларының жиынтығы;</w:t>
      </w:r>
    </w:p>
    <w:p>
      <w:pPr>
        <w:spacing w:after="0"/>
        <w:ind w:left="0"/>
        <w:jc w:val="both"/>
      </w:pPr>
      <w:r>
        <w:rPr>
          <w:rFonts w:ascii="Times New Roman"/>
          <w:b w:val="false"/>
          <w:i w:val="false"/>
          <w:color w:val="000000"/>
          <w:sz w:val="28"/>
        </w:rPr>
        <w:t xml:space="preserve">
      7) сумен жабдықтау бойынша коммуналдық қызметтерді тұтыну нормасы –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бекітікен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pPr>
        <w:spacing w:after="0"/>
        <w:ind w:left="0"/>
        <w:jc w:val="both"/>
      </w:pPr>
      <w:r>
        <w:rPr>
          <w:rFonts w:ascii="Times New Roman"/>
          <w:b w:val="false"/>
          <w:i w:val="false"/>
          <w:color w:val="000000"/>
          <w:sz w:val="28"/>
        </w:rPr>
        <w:t>
      8) су құбырының толық өткізу қабілеттілігі – 1,0 d (d – құбырдың ішкі диаметрі) тең толған кездері және оның тәулігіне 24 сағат бойы әрекет етуі кезінде су қозғалысының жылдамдығы секундына бір метр кезіндегі су шығыны;</w:t>
      </w:r>
    </w:p>
    <w:p>
      <w:pPr>
        <w:spacing w:after="0"/>
        <w:ind w:left="0"/>
        <w:jc w:val="both"/>
      </w:pPr>
      <w:r>
        <w:rPr>
          <w:rFonts w:ascii="Times New Roman"/>
          <w:b w:val="false"/>
          <w:i w:val="false"/>
          <w:color w:val="000000"/>
          <w:sz w:val="28"/>
        </w:rPr>
        <w:t>
      9)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8" w:id="12"/>
    <w:p>
      <w:pPr>
        <w:spacing w:after="0"/>
        <w:ind w:left="0"/>
        <w:jc w:val="both"/>
      </w:pPr>
      <w:r>
        <w:rPr>
          <w:rFonts w:ascii="Times New Roman"/>
          <w:b w:val="false"/>
          <w:i w:val="false"/>
          <w:color w:val="000000"/>
          <w:sz w:val="28"/>
        </w:rPr>
        <w:t xml:space="preserve">
      "4. Есепке алу аспабы болмаған кезде сумен жабдықтаудың көрсетілген қызметтерінің көлемі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есептеу жолымен айқындалады.";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xml:space="preserve">
      "7. Елді мекеннің сумен жабдықтау жүйесіне (көрсетілетін қызметті беруші) қосылмаған, сондай-ақ елді мекеннің су бұру жүйесіне (көрсетілетін қызметті беруші) сарқынды суды бұратын әртүрлі сумен жабдықтау көздері бар тұтынушыларда сарқынды суды есепке алу аспабы болмаған жағдайда, оларға су бұрудың көрсетілген қызметінің көлемі есепке алу аспабынан көрсеткіші бойынша немесе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есептеу жолымен айқындалады.</w:t>
      </w:r>
    </w:p>
    <w:bookmarkEnd w:id="13"/>
    <w:bookmarkStart w:name="z21" w:id="14"/>
    <w:p>
      <w:pPr>
        <w:spacing w:after="0"/>
        <w:ind w:left="0"/>
        <w:jc w:val="both"/>
      </w:pPr>
      <w:r>
        <w:rPr>
          <w:rFonts w:ascii="Times New Roman"/>
          <w:b w:val="false"/>
          <w:i w:val="false"/>
          <w:color w:val="000000"/>
          <w:sz w:val="28"/>
        </w:rPr>
        <w:t xml:space="preserve">
      8. Көрсетілетін қызметті берушіге хабарлаған кезде кезекті тексеруге, жөндеуге немесе ауыстыруға байланысты есепке алу аспабы уақытша болмаған жағдайда, сондай-ақ есепке алу аспабы тұтынушының кінәсінен тыс істен шыққаны анықталған кезде сумен жабдықтаудың көрсетілген қызметінің көлемі есепке алу аспабы болмаған кезең де, бірақ бір айдан артық емес есепке алу аспабының көрсеткіштеріне сәйкес алдынғы үш айдың орташа шығыны бойынша айқындалады. Аталған мерзім өткен соң есепке алу аспабы болмаған кезде сумен жабдықтаудың көрсетілген қызметінің көлемі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23" w:id="15"/>
    <w:p>
      <w:pPr>
        <w:spacing w:after="0"/>
        <w:ind w:left="0"/>
        <w:jc w:val="both"/>
      </w:pPr>
      <w:r>
        <w:rPr>
          <w:rFonts w:ascii="Times New Roman"/>
          <w:b w:val="false"/>
          <w:i w:val="false"/>
          <w:color w:val="000000"/>
          <w:sz w:val="28"/>
        </w:rPr>
        <w:t>
      "2-тарау. Ыстық сумен жабдықтаудың ашық және жабық жүйелерінде көрсетілген қызметтердің көлемін есепке алу";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25" w:id="16"/>
    <w:p>
      <w:pPr>
        <w:spacing w:after="0"/>
        <w:ind w:left="0"/>
        <w:jc w:val="both"/>
      </w:pPr>
      <w:r>
        <w:rPr>
          <w:rFonts w:ascii="Times New Roman"/>
          <w:b w:val="false"/>
          <w:i w:val="false"/>
          <w:color w:val="000000"/>
          <w:sz w:val="28"/>
        </w:rPr>
        <w:t>
      "3-тарау. Кондоминиум қатысушыларына сумен жабдықтаудың және су бұрудың көрсетілген қызметтерінің көлемін есепке алу";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"16. Тұтынушыларға – кондоминиум қатысушыларына сумен жабдықтаудың көрсетілген қызметтерінің көлемі мынадай тәртіппен анықталады:</w:t>
      </w:r>
    </w:p>
    <w:bookmarkEnd w:id="17"/>
    <w:p>
      <w:pPr>
        <w:spacing w:after="0"/>
        <w:ind w:left="0"/>
        <w:jc w:val="both"/>
      </w:pPr>
      <w:r>
        <w:rPr>
          <w:rFonts w:ascii="Times New Roman"/>
          <w:b w:val="false"/>
          <w:i w:val="false"/>
          <w:color w:val="000000"/>
          <w:sz w:val="28"/>
        </w:rPr>
        <w:t xml:space="preserve">
      1) жеке және үйге ортақ есепке алу аспабы болмаған кезде –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w:t>
      </w:r>
    </w:p>
    <w:p>
      <w:pPr>
        <w:spacing w:after="0"/>
        <w:ind w:left="0"/>
        <w:jc w:val="both"/>
      </w:pPr>
      <w:r>
        <w:rPr>
          <w:rFonts w:ascii="Times New Roman"/>
          <w:b w:val="false"/>
          <w:i w:val="false"/>
          <w:color w:val="000000"/>
          <w:sz w:val="28"/>
        </w:rPr>
        <w:t xml:space="preserve">
      2) жеке есепке алу аспабы ішінара орналастырылған және үйге ортақ есепке алу аспабы болмаған кезде – жеке есепке алу аспабының көрсеткіштері бойынша және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w:t>
      </w:r>
    </w:p>
    <w:p>
      <w:pPr>
        <w:spacing w:after="0"/>
        <w:ind w:left="0"/>
        <w:jc w:val="both"/>
      </w:pPr>
      <w:r>
        <w:rPr>
          <w:rFonts w:ascii="Times New Roman"/>
          <w:b w:val="false"/>
          <w:i w:val="false"/>
          <w:color w:val="000000"/>
          <w:sz w:val="28"/>
        </w:rPr>
        <w:t>
      3) жеке есепке алу аспабын ішінара орналастырылған және үйге ортақ есепке алу аспабы болған кезде:</w:t>
      </w:r>
    </w:p>
    <w:p>
      <w:pPr>
        <w:spacing w:after="0"/>
        <w:ind w:left="0"/>
        <w:jc w:val="both"/>
      </w:pPr>
      <w:r>
        <w:rPr>
          <w:rFonts w:ascii="Times New Roman"/>
          <w:b w:val="false"/>
          <w:i w:val="false"/>
          <w:color w:val="000000"/>
          <w:sz w:val="28"/>
        </w:rPr>
        <w:t>
      есепке алу аспабы бар – жеке есепке алу аспаптарының көрсеткіштері бойынша;</w:t>
      </w:r>
    </w:p>
    <w:p>
      <w:pPr>
        <w:spacing w:after="0"/>
        <w:ind w:left="0"/>
        <w:jc w:val="both"/>
      </w:pPr>
      <w:r>
        <w:rPr>
          <w:rFonts w:ascii="Times New Roman"/>
          <w:b w:val="false"/>
          <w:i w:val="false"/>
          <w:color w:val="000000"/>
          <w:sz w:val="28"/>
        </w:rPr>
        <w:t xml:space="preserve">
      есепке алу аспабы жоқ –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w:t>
      </w:r>
    </w:p>
    <w:p>
      <w:pPr>
        <w:spacing w:after="0"/>
        <w:ind w:left="0"/>
        <w:jc w:val="both"/>
      </w:pPr>
      <w:r>
        <w:rPr>
          <w:rFonts w:ascii="Times New Roman"/>
          <w:b w:val="false"/>
          <w:i w:val="false"/>
          <w:color w:val="000000"/>
          <w:sz w:val="28"/>
        </w:rPr>
        <w:t xml:space="preserve">
      Үйге ортақ есепке алу аспабының көрсеткіштері мен жеке есепке алу аспабының жиынтық көрсеткіштері және Заңның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органдар бекіткен сумен жабдықтау жөніндегі коммуналдық қызметтерді тұтыну нормалары бойынша есептелген көлемдер арасындағы айырмашылықты пәтерлер, жанастыра салынған және жапсарлас салынған тұрғын емес үй-жайлардың иелері (кондоминиум қатысушылары) тұтынған судың көлемдеріне барабар төлеуге жатады;</w:t>
      </w:r>
    </w:p>
    <w:p>
      <w:pPr>
        <w:spacing w:after="0"/>
        <w:ind w:left="0"/>
        <w:jc w:val="both"/>
      </w:pPr>
      <w:r>
        <w:rPr>
          <w:rFonts w:ascii="Times New Roman"/>
          <w:b w:val="false"/>
          <w:i w:val="false"/>
          <w:color w:val="000000"/>
          <w:sz w:val="28"/>
        </w:rPr>
        <w:t>
      4) 100 % жеке есепке алу аспабы болған және үйге ортақ есепке алу аспабы болмаған кезде – жеке есепке алу аспабының көрсеткіштері бойынша;</w:t>
      </w:r>
    </w:p>
    <w:p>
      <w:pPr>
        <w:spacing w:after="0"/>
        <w:ind w:left="0"/>
        <w:jc w:val="both"/>
      </w:pPr>
      <w:r>
        <w:rPr>
          <w:rFonts w:ascii="Times New Roman"/>
          <w:b w:val="false"/>
          <w:i w:val="false"/>
          <w:color w:val="000000"/>
          <w:sz w:val="28"/>
        </w:rPr>
        <w:t>
      5) 100 % жеке есепке алу аспабы және үйге ортақ есепке алу аспабы болған кезде – жеке есепке алу аспабының көрсеткіштері бойынша. Үйге ортақ есепке алу аспабының көрсеткіштері мен жеке есепке алу аспабының жиынтық көрсеткіштері арасындағы айырмашылықты пәтерлер, жанастыра салынған және жапсарлас салынған тұрғын емес үй-жайларыдның иелері (кондоминиум қатысушылары) тұтынған су көлемдеріне барабар мөлшерде төлеуге жатады;</w:t>
      </w:r>
    </w:p>
    <w:p>
      <w:pPr>
        <w:spacing w:after="0"/>
        <w:ind w:left="0"/>
        <w:jc w:val="both"/>
      </w:pPr>
      <w:r>
        <w:rPr>
          <w:rFonts w:ascii="Times New Roman"/>
          <w:b w:val="false"/>
          <w:i w:val="false"/>
          <w:color w:val="000000"/>
          <w:sz w:val="28"/>
        </w:rPr>
        <w:t>
      6) елді мекеннің су бұру жүйесіне қосылған тұтынушылардың сарқынды су көлемі жіберілген су көлеміне тең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29" w:id="18"/>
    <w:p>
      <w:pPr>
        <w:spacing w:after="0"/>
        <w:ind w:left="0"/>
        <w:jc w:val="both"/>
      </w:pPr>
      <w:r>
        <w:rPr>
          <w:rFonts w:ascii="Times New Roman"/>
          <w:b w:val="false"/>
          <w:i w:val="false"/>
          <w:color w:val="000000"/>
          <w:sz w:val="28"/>
        </w:rPr>
        <w:t>
      "4-тарау. Тұтынушыларға – жеке кәсіпкерлер мен заңды тұлғаларға сумен жабдықтаудың және су бұрудың көрсетілген қызметтерінің көлемін есепке алу";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"20. Суды есепке алу аспабы жоқ, оларды орнатуға техникалық мүмкіндіктер болмаған кезде тұтынушыларға – заңды тұлғаларға көрсетілген қызметтердің көлемі сумен жабдықтау және су бұру қызметтерін көрсетуге шарт жасасу кезінде құрастырылған су тұтынуды есептеу көлемі бойынша айқындалады.";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 </w:t>
      </w:r>
    </w:p>
    <w:bookmarkStart w:name="z33" w:id="20"/>
    <w:p>
      <w:pPr>
        <w:spacing w:after="0"/>
        <w:ind w:left="0"/>
        <w:jc w:val="both"/>
      </w:pPr>
      <w:r>
        <w:rPr>
          <w:rFonts w:ascii="Times New Roman"/>
          <w:b w:val="false"/>
          <w:i w:val="false"/>
          <w:color w:val="000000"/>
          <w:sz w:val="28"/>
        </w:rPr>
        <w:t>
      "5-тарау. Жеке жағдайларда сумен жабдықтаудың және су бұрудың көрсетілген қызметтерінің көлемін есепке алу";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"22. Бұзушылықтар анықталған кезде сумен жабдықтау қызметінің көрсетілген көлемін есептеу:</w:t>
      </w:r>
    </w:p>
    <w:bookmarkEnd w:id="21"/>
    <w:p>
      <w:pPr>
        <w:spacing w:after="0"/>
        <w:ind w:left="0"/>
        <w:jc w:val="both"/>
      </w:pPr>
      <w:r>
        <w:rPr>
          <w:rFonts w:ascii="Times New Roman"/>
          <w:b w:val="false"/>
          <w:i w:val="false"/>
          <w:color w:val="000000"/>
          <w:sz w:val="28"/>
        </w:rPr>
        <w:t>
      1) тұтынушыда есепке алу аспабының көрсеткіштерін бұрмалаушы құрылғыларды анықтаған кезде – суды есепке алу аспабының соңғы көрсеткіштерін алған сәттен бастап анықталған күнге дейін суды есепке алу аспабын орнатылуға тиіс құбырдың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2) тұтынушының сумен жабдықтау жүйесінен жылыстауы анықталған, есепке алу аспабы болмаған немесе оның ақаулары болған кезде – жылыстауы анықталған құбырдың толық өткізу қабілеттілігі бойынша жойған күнге дейін нақты уақыт бойы. Егер жылыстау басталған күнді анықтау мүмкін болмаса – соңғы қарап-тексеруді жүргізген сәттен бастап, бірақ екі айдан артық емес;</w:t>
      </w:r>
    </w:p>
    <w:p>
      <w:pPr>
        <w:spacing w:after="0"/>
        <w:ind w:left="0"/>
        <w:jc w:val="both"/>
      </w:pPr>
      <w:r>
        <w:rPr>
          <w:rFonts w:ascii="Times New Roman"/>
          <w:b w:val="false"/>
          <w:i w:val="false"/>
          <w:color w:val="000000"/>
          <w:sz w:val="28"/>
        </w:rPr>
        <w:t>
      3) суды есепке алу аспабының көрсеткішін алу және оның жұмыс істеу қабілетін, кірме су құбырының және есепке алу тораптарының техникалық жай-күйін тексеру үшін көрсетілетін қызметті берушінің өкілін тұтынушы (оның өкілдері) жібермеген кезде – суды есепке алу аспабының соңғы көрсеткіштерін алған сәттен бастап жіберген сәтке дейін есепке алу аспабы орнатылған құбырдың толық өткізу қабілеттілігі бойынша жүргізіледі;</w:t>
      </w:r>
    </w:p>
    <w:p>
      <w:pPr>
        <w:spacing w:after="0"/>
        <w:ind w:left="0"/>
        <w:jc w:val="both"/>
      </w:pPr>
      <w:r>
        <w:rPr>
          <w:rFonts w:ascii="Times New Roman"/>
          <w:b w:val="false"/>
          <w:i w:val="false"/>
          <w:color w:val="000000"/>
          <w:sz w:val="28"/>
        </w:rPr>
        <w:t>
      4) тұтынушының есепке алу аспабында және/немесе су өлшеуіш торабының айналма сызығында (тиекті арматурада), өрт сөндіру гидранттарында пломбалардың жұлынуы анықталған кезде – суды есепке алу аспабының соңғы көрсеткішін алған сәттен бастап көрсетілетін қызметті берушінің өкілі қайта пломбалаған сәтке дейін есепке алу аспабы орнатылған тиісті құбырдың, айналма сызығының немесе өрт сөндіру гидранттарының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5) тұтынышының кінәсінан емес есепке алу аспабының істен шығуы жағдайларын қоспағанда, есепке алу аспабының істен шығуы туралы қызмет көрсетушіге хабарламаған кезде – есепке алу аспабы орнатылған құбырдың толық өткізу қабілеті бойынша есепке алу аспабының соңғы көрсеткіштері алынған сәттен ақауды анықтаған сәтке дейін, бірақ екі айдан артық емес;</w:t>
      </w:r>
    </w:p>
    <w:p>
      <w:pPr>
        <w:spacing w:after="0"/>
        <w:ind w:left="0"/>
        <w:jc w:val="both"/>
      </w:pPr>
      <w:r>
        <w:rPr>
          <w:rFonts w:ascii="Times New Roman"/>
          <w:b w:val="false"/>
          <w:i w:val="false"/>
          <w:color w:val="000000"/>
          <w:sz w:val="28"/>
        </w:rPr>
        <w:t>
      6) сумен жабдықтау және су бұру қызметтерін ұсынуға қызмет көрсетушімен жасалған шартсыз елді мекеннің (қызмет көрсетушінің) сумен жабдықтау желілерінен суды пайдалану фактісі анықталған кезде – суды есепке алу аспабы орнатылуға тиіс өз бетімен қосылған құбырдың толық өткізу қабілеті бойынша, нақты пайдалану уақыты анықталған (ажырату) сәтке дейін, бірақ үш айдан артық емес;</w:t>
      </w:r>
    </w:p>
    <w:p>
      <w:pPr>
        <w:spacing w:after="0"/>
        <w:ind w:left="0"/>
        <w:jc w:val="both"/>
      </w:pPr>
      <w:r>
        <w:rPr>
          <w:rFonts w:ascii="Times New Roman"/>
          <w:b w:val="false"/>
          <w:i w:val="false"/>
          <w:color w:val="000000"/>
          <w:sz w:val="28"/>
        </w:rPr>
        <w:t>
      7) өрт сөндіру жағдайларынан басқа, өртке қарсы жүйелерден су пайдалану фактісі анықталған кезде - өз бетімен пайдаланған уақыттан бастап анықталған кезге дейін өз бетімен пайдалану жүзеге асырылған өрт краны немесе гидрант алдындағы су құбырының толық өткізу қабілеттілігі бойынша, бірақ екі айдан артық емес;</w:t>
      </w:r>
    </w:p>
    <w:p>
      <w:pPr>
        <w:spacing w:after="0"/>
        <w:ind w:left="0"/>
        <w:jc w:val="both"/>
      </w:pPr>
      <w:r>
        <w:rPr>
          <w:rFonts w:ascii="Times New Roman"/>
          <w:b w:val="false"/>
          <w:i w:val="false"/>
          <w:color w:val="000000"/>
          <w:sz w:val="28"/>
        </w:rPr>
        <w:t>
      8) тұтынушының сумен жабдықтау жүйесіне қосылған құбыржолы арқылы суару фактісі анықталған, кіргізуде есепке алу аспабы болмаған немесе оның ақаулары болған кезде – суды есепке алу аспабынан соңғы көрсеткіштерлерді алғаш сәттен бастап мұндай құбырдың толық өткізу қабілеттілігі бойынша, бірақ бір айдан артық емес;</w:t>
      </w:r>
    </w:p>
    <w:p>
      <w:pPr>
        <w:spacing w:after="0"/>
        <w:ind w:left="0"/>
        <w:jc w:val="both"/>
      </w:pPr>
      <w:r>
        <w:rPr>
          <w:rFonts w:ascii="Times New Roman"/>
          <w:b w:val="false"/>
          <w:i w:val="false"/>
          <w:color w:val="000000"/>
          <w:sz w:val="28"/>
        </w:rPr>
        <w:t>
      9) судың тұрақты төгіле ағу фактісі анықталған, кірмеде есептеу құралы болмаған немесе оның ақаулары болған кезде – соңғы тексеру жүргізген уақыттан бастап су жеткізетін құбырдың толық өткізу қабілеттілігі бойынша жүргізіледі, бірақ бір айдан артық емес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"25. Тұтынушының аумақтарынан, өнеркәсіп және құрылыс алаңдарынан елді мекеннің су бұру жүйесіне беткі сарқын суларды ағызу фактісі анықталған кезде су бұрудың көрсетілген қызметінің көлемі төтенше жағдайларды қоспағанда, соңғы қарап-тексеру жүргізген сәттен бастап бірақ бір айдан артық емес, өзі ағатын су құбырының толық өткізу қабілеттілігі бойынша айқындалады;</w:t>
      </w:r>
    </w:p>
    <w:bookmarkEnd w:id="22"/>
    <w:bookmarkStart w:name="z38" w:id="23"/>
    <w:p>
      <w:pPr>
        <w:spacing w:after="0"/>
        <w:ind w:left="0"/>
        <w:jc w:val="both"/>
      </w:pPr>
      <w:r>
        <w:rPr>
          <w:rFonts w:ascii="Times New Roman"/>
          <w:b w:val="false"/>
          <w:i w:val="false"/>
          <w:color w:val="000000"/>
          <w:sz w:val="28"/>
        </w:rPr>
        <w:t>
      26. Батырылатын сорғылар және басқа айдау құрылғыларын пайдаланып, елді мекеннің су бұру жүйесіне нөсер, тасқын, топырақ суларын ағызу фактісі анықталған кезде су бұрудың көрсетілген қызметінің көлемі төтенше жағдайларды қоспағанда, соңғы қарап-тексеру жүргізген сәттен бастап бірақ бір айдан артық емес, сорғы не айдау құрылғысы тәулігіне 24 сағат бойы жұмыс істеген кезде олардың толық өнімділігі бойынша айқындалады.".</w:t>
      </w:r>
    </w:p>
    <w:bookmarkEnd w:id="23"/>
    <w:bookmarkStart w:name="z39" w:id="24"/>
    <w:p>
      <w:pPr>
        <w:spacing w:after="0"/>
        <w:ind w:left="0"/>
        <w:jc w:val="both"/>
      </w:pPr>
      <w:r>
        <w:rPr>
          <w:rFonts w:ascii="Times New Roman"/>
          <w:b w:val="false"/>
          <w:i w:val="false"/>
          <w:color w:val="000000"/>
          <w:sz w:val="28"/>
        </w:rPr>
        <w:t>
      2. Қазақстан Республикасы Индустрия және инфрақұрымдылық даму министрлігінің Құрылыс және тұрғын үй-коммуналдық шаруашылық істері комитеті заңнамада белгіленген тәртіппен:</w:t>
      </w:r>
    </w:p>
    <w:bookmarkEnd w:id="24"/>
    <w:bookmarkStart w:name="z40"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41"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42" w:id="27"/>
    <w:p>
      <w:pPr>
        <w:spacing w:after="0"/>
        <w:ind w:left="0"/>
        <w:jc w:val="both"/>
      </w:pPr>
      <w:r>
        <w:rPr>
          <w:rFonts w:ascii="Times New Roman"/>
          <w:b w:val="false"/>
          <w:i w:val="false"/>
          <w:color w:val="000000"/>
          <w:sz w:val="28"/>
        </w:rPr>
        <w:t>
      3) осы бұйрықты Қазақстан Республикасы Индустрия және инфрақұрымдылық министрлігінің интернет-ресурсында орналастыруды қамтамасыз етсін.</w:t>
      </w:r>
    </w:p>
    <w:bookmarkEnd w:id="27"/>
    <w:bookmarkStart w:name="z43"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инфрақұрымдылық даму вице-министріне жүктелсін.</w:t>
      </w:r>
    </w:p>
    <w:bookmarkEnd w:id="28"/>
    <w:bookmarkStart w:name="z44"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