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54c3b" w14:textId="7754c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"Қосылған құн салығының асып кетуін қайтару қағидаларын бекіту туралы" Қазақстан Республикасы Қаржы министрінің 2018 жылғы 19 наурыздағы № 391 бұйрығына өзгерістер енгізу туралы</w:t>
      </w:r>
    </w:p>
    <w:p>
      <w:pPr>
        <w:spacing w:after="0"/>
        <w:ind w:left="0"/>
        <w:jc w:val="both"/>
      </w:pPr>
      <w:r>
        <w:rPr>
          <w:rFonts w:ascii="Times New Roman"/>
          <w:b w:val="false"/>
          <w:i w:val="false"/>
          <w:color w:val="000000"/>
          <w:sz w:val="28"/>
        </w:rPr>
        <w:t>Қазақстан Республикасы Премьер-Министрінің Бірінші орынбасары - Қазақстан Республикасы Қаржы министрінің 2019 жылғы 12 тамыздағы № 857 бұйрығы. Қазақстан Республикасының Әділет министрлігінде 2019 жылғы 16 тамызда № 19254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"Қосылған құн салығының асып кетуін қайтару қағидаларын бекіту туралы" Қазақстан Республикасы Қаржы министрінің 2018 жылғы 19 наурыздағы № 391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16669 болып тіркелген, Қазақстан Республикасының Нормативтік құқықтық актілердің эталондық бақылау банкінде 2018 жылғы 5 сәуірде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Қосылған құн салығының асып кетуін қайтару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 тақырыбы</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"4-тарау. Арнайы экономикалық аймақтың, "Қорғас" Шекара маңы ынтымақтастық халықаралық орталығы" арнайы экономикалық аймағының ҚҚС асып кетуін қайтару ерекшелігі";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2-параграф.</w:t>
      </w:r>
      <w:r>
        <w:rPr>
          <w:rFonts w:ascii="Times New Roman"/>
          <w:b w:val="false"/>
          <w:i w:val="false"/>
          <w:color w:val="000000"/>
          <w:sz w:val="28"/>
        </w:rPr>
        <w:t xml:space="preserve"> "Астана-жаңа қала" арнайы экономикалық аймағының ҚҚС асып кетуін қайтару ерекшелігі алып тасталсын.</w:t>
      </w:r>
    </w:p>
    <w:bookmarkStart w:name="z6" w:id="3"/>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заңнамада белгіленген тәртіппен:</w:t>
      </w:r>
    </w:p>
    <w:bookmarkEnd w:id="3"/>
    <w:bookmarkStart w:name="z7" w:id="4"/>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4"/>
    <w:bookmarkStart w:name="z8" w:id="5"/>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 қазақ және орыс тілдерінде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Республикасының нормативтік құқықтық актілердің эталондық бақылау банкіне енгізу үшін жолдануын;</w:t>
      </w:r>
    </w:p>
    <w:bookmarkEnd w:id="5"/>
    <w:bookmarkStart w:name="z9" w:id="6"/>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w:t>
      </w:r>
    </w:p>
    <w:bookmarkEnd w:id="6"/>
    <w:bookmarkStart w:name="z10" w:id="7"/>
    <w:p>
      <w:pPr>
        <w:spacing w:after="0"/>
        <w:ind w:left="0"/>
        <w:jc w:val="both"/>
      </w:pPr>
      <w:r>
        <w:rPr>
          <w:rFonts w:ascii="Times New Roman"/>
          <w:b w:val="false"/>
          <w:i w:val="false"/>
          <w:color w:val="000000"/>
          <w:sz w:val="28"/>
        </w:rPr>
        <w:t>
      4) осы бұйрықты Қазақстан Республикасы Әділет министрлігінде мемлекеттік тіркеген күннен бастап он жұмыс күні ішінде осы тармақтың 1), 2) және 3) тармақшаларында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7"/>
    <w:bookmarkStart w:name="z11" w:id="8"/>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Премьер-Министрінің</w:t>
            </w:r>
            <w:r>
              <w:br/>
            </w:r>
            <w:r>
              <w:rPr>
                <w:rFonts w:ascii="Times New Roman"/>
                <w:b w:val="false"/>
                <w:i/>
                <w:color w:val="000000"/>
                <w:sz w:val="20"/>
              </w:rPr>
              <w:t>Бірінші орынбасары -</w:t>
            </w:r>
            <w:r>
              <w:br/>
            </w:r>
            <w:r>
              <w:rPr>
                <w:rFonts w:ascii="Times New Roman"/>
                <w:b w:val="false"/>
                <w:i/>
                <w:color w:val="000000"/>
                <w:sz w:val="20"/>
              </w:rPr>
              <w:t>Қазақстан Республикасы</w:t>
            </w:r>
            <w:r>
              <w:br/>
            </w:r>
            <w:r>
              <w:rPr>
                <w:rFonts w:ascii="Times New Roman"/>
                <w:b w:val="false"/>
                <w:i/>
                <w:color w:val="000000"/>
                <w:sz w:val="20"/>
              </w:rPr>
              <w:t>Қаржы министрі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