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1db1" w14:textId="6f91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16 тамыздағы № 298 бұйрығы. Қазақстан Республикасының Әділет министрлігінде 2019 жылғы 19 тамызда № 19261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11479 болып тіркелген, 2015 жылғы 22 шілдеде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Патент қабілеттілігі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реттік нөмірі 125-1-жолмен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490"/>
        <w:gridCol w:w="9753"/>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"Жаңғақ жемісті дақылдар" деген бөліммен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603"/>
        <w:gridCol w:w="99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жемісті дақылдар</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amugdalus Batsch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көрсетілген бұйрықпен бекітілген Шаруашылықта пайдалылығы мемлекеттік сынақтың деректері бойынша бағаланатын өсімдіктердің тектері мен түрлерінің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мазмұндағы "Жаңғақ жемісті дақылдар" деген бөліммен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26"/>
        <w:gridCol w:w="10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жемісті дақылдар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amugdalus Batsch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көрсетілген бұйрықпен бекітілген Шаруашылықта пайдалылығы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мынадай мазмұндағы реттік нөмірлері 138-1-жолмен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490"/>
        <w:gridCol w:w="9753"/>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мынадай мазмұндағы "Жаңғақ жемісті дақылдар" деген бөліммен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603"/>
        <w:gridCol w:w="99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жемісті дақылдар</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amugdalus Batsch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13"/>
    <w:bookmarkStart w:name="z15" w:id="14"/>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