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6cf7" w14:textId="76e6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тамыздағы № 654 бұйрығы. Қазақстан Республикасының Әділет министрлігінде 2019 жылғы 22 тамызда № 19277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11620 болып тіркелген, 2015 жылғы 23 шілдеде "Егемен Қазақстан" газетінің № 138 (28616)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Жылумен,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6) тармақшасы мынадай редакцияда жазылсын:</w:t>
      </w:r>
    </w:p>
    <w:bookmarkStart w:name="z5" w:id="3"/>
    <w:p>
      <w:pPr>
        <w:spacing w:after="0"/>
        <w:ind w:left="0"/>
        <w:jc w:val="both"/>
      </w:pPr>
      <w:r>
        <w:rPr>
          <w:rFonts w:ascii="Times New Roman"/>
          <w:b w:val="false"/>
          <w:i w:val="false"/>
          <w:color w:val="000000"/>
          <w:sz w:val="28"/>
        </w:rPr>
        <w:t>
      "6) сыйақы ставкасы жылына 0,01 % мөлшерінде белгіленеді;";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"35. Бюджеттік кредит бойынша міндеттемелердің орындалуын қамтамасыз етуді бағалау "Қазақстан Республикасындағы бағалау қызметі туралы" 2018 жылғы 10 қаңтардағы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жүзеге асырылады.".</w:t>
      </w:r>
    </w:p>
    <w:bookmarkEnd w:id="4"/>
    <w:bookmarkStart w:name="z8" w:id="5"/>
    <w:p>
      <w:pPr>
        <w:spacing w:after="0"/>
        <w:ind w:left="0"/>
        <w:jc w:val="both"/>
      </w:pPr>
      <w:r>
        <w:rPr>
          <w:rFonts w:ascii="Times New Roman"/>
          <w:b w:val="false"/>
          <w:i w:val="false"/>
          <w:color w:val="000000"/>
          <w:sz w:val="28"/>
        </w:rPr>
        <w:t>
      2. Қазақстан Республикасы Индустрия жəне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Индустрия жəне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