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24d" w14:textId="5a86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7 қарашадағы № 1235 бұйрығы. Қазақстан Республикасының Әділет министрлігінде 2019 жылғы 13 қарашада № 19590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жағдайларды қоспағанда, айына кем дегенде бір рет ұсынылады.";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"183. Мемлекеттік мекемелердің/квазимемлекеттік сектор субъектілерінің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үшін төлеуіне жол беріледі.</w:t>
      </w:r>
    </w:p>
    <w:bookmarkEnd w:id="3"/>
    <w:p>
      <w:pPr>
        <w:spacing w:after="0"/>
        <w:ind w:left="0"/>
        <w:jc w:val="both"/>
      </w:pPr>
      <w:r>
        <w:rPr>
          <w:rFonts w:ascii="Times New Roman"/>
          <w:b w:val="false"/>
          <w:i w:val="false"/>
          <w:color w:val="000000"/>
          <w:sz w:val="28"/>
        </w:rPr>
        <w:t xml:space="preserve">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бірінші бөлігі мынадай редакцияда жазылсын:</w:t>
      </w:r>
    </w:p>
    <w:bookmarkStart w:name="z8" w:id="4"/>
    <w:p>
      <w:pPr>
        <w:spacing w:after="0"/>
        <w:ind w:left="0"/>
        <w:jc w:val="both"/>
      </w:pPr>
      <w:r>
        <w:rPr>
          <w:rFonts w:ascii="Times New Roman"/>
          <w:b w:val="false"/>
          <w:i w:val="false"/>
          <w:color w:val="000000"/>
          <w:sz w:val="28"/>
        </w:rPr>
        <w:t>
      "224. Қағаз жеткізгіштегі және "Қазынашылық-клиент" АЖ бойынша түскен төлеуге берілетін шот былайша ресімделеді:</w:t>
      </w:r>
    </w:p>
    <w:bookmarkEnd w:id="4"/>
    <w:bookmarkStart w:name="z9" w:id="5"/>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bookmarkEnd w:id="5"/>
    <w:bookmarkStart w:name="z10" w:id="6"/>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6"/>
    <w:bookmarkStart w:name="z11" w:id="7"/>
    <w:p>
      <w:pPr>
        <w:spacing w:after="0"/>
        <w:ind w:left="0"/>
        <w:jc w:val="both"/>
      </w:pPr>
      <w:r>
        <w:rPr>
          <w:rFonts w:ascii="Times New Roman"/>
          <w:b w:val="false"/>
          <w:i w:val="false"/>
          <w:color w:val="000000"/>
          <w:sz w:val="28"/>
        </w:rPr>
        <w:t>
      3) "Мемлекеттік мекеме" бөлімінде:</w:t>
      </w:r>
    </w:p>
    <w:bookmarkEnd w:id="7"/>
    <w:p>
      <w:pPr>
        <w:spacing w:after="0"/>
        <w:ind w:left="0"/>
        <w:jc w:val="both"/>
      </w:pPr>
      <w:r>
        <w:rPr>
          <w:rFonts w:ascii="Times New Roman"/>
          <w:b w:val="false"/>
          <w:i w:val="false"/>
          <w:color w:val="000000"/>
          <w:sz w:val="28"/>
        </w:rPr>
        <w:t>
      "ММ-нің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"АҚБ"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"БСК" ашық жолағында бюджетті атқару жөніндегі орталық уәкілетті органның банктік сәйкестендіру коды көрсетіледі;</w:t>
      </w:r>
    </w:p>
    <w:bookmarkStart w:name="z12" w:id="8"/>
    <w:p>
      <w:pPr>
        <w:spacing w:after="0"/>
        <w:ind w:left="0"/>
        <w:jc w:val="both"/>
      </w:pPr>
      <w:r>
        <w:rPr>
          <w:rFonts w:ascii="Times New Roman"/>
          <w:b w:val="false"/>
          <w:i w:val="false"/>
          <w:color w:val="000000"/>
          <w:sz w:val="28"/>
        </w:rPr>
        <w:t>
      4) тиісті жеке сәйкестендіру коды "ЖСК" ашық жолағында мыналар бойынша көрсетіледі:</w:t>
      </w:r>
    </w:p>
    <w:bookmarkEnd w:id="8"/>
    <w:p>
      <w:pPr>
        <w:spacing w:after="0"/>
        <w:ind w:left="0"/>
        <w:jc w:val="both"/>
      </w:pPr>
      <w:r>
        <w:rPr>
          <w:rFonts w:ascii="Times New Roman"/>
          <w:b w:val="false"/>
          <w:i w:val="false"/>
          <w:color w:val="000000"/>
          <w:sz w:val="28"/>
        </w:rPr>
        <w:t>
      операцияларды есептеу үшін ҚБШ-да:</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w:t>
      </w:r>
    </w:p>
    <w:bookmarkStart w:name="z13" w:id="9"/>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9"/>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bookmarkStart w:name="z14" w:id="10"/>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10"/>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Start w:name="z15" w:id="11"/>
    <w:p>
      <w:pPr>
        <w:spacing w:after="0"/>
        <w:ind w:left="0"/>
        <w:jc w:val="both"/>
      </w:pPr>
      <w:r>
        <w:rPr>
          <w:rFonts w:ascii="Times New Roman"/>
          <w:b w:val="false"/>
          <w:i w:val="false"/>
          <w:color w:val="000000"/>
          <w:sz w:val="28"/>
        </w:rPr>
        <w:t>
      7) "Шығыстардың БСК" ашық жолағы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БСК-ның заңды қолданылуын қамтамасыз етеді;</w:t>
      </w:r>
    </w:p>
    <w:bookmarkEnd w:id="11"/>
    <w:bookmarkStart w:name="z16" w:id="12"/>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12"/>
    <w:bookmarkStart w:name="z17" w:id="13"/>
    <w:p>
      <w:pPr>
        <w:spacing w:after="0"/>
        <w:ind w:left="0"/>
        <w:jc w:val="both"/>
      </w:pPr>
      <w:r>
        <w:rPr>
          <w:rFonts w:ascii="Times New Roman"/>
          <w:b w:val="false"/>
          <w:i w:val="false"/>
          <w:color w:val="000000"/>
          <w:sz w:val="28"/>
        </w:rPr>
        <w:t>
      9) "Ақшаны алушы" бөлімінде:</w:t>
      </w:r>
    </w:p>
    <w:bookmarkEnd w:id="13"/>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Start w:name="z18" w:id="14"/>
    <w:p>
      <w:pPr>
        <w:spacing w:after="0"/>
        <w:ind w:left="0"/>
        <w:jc w:val="both"/>
      </w:pPr>
      <w:r>
        <w:rPr>
          <w:rFonts w:ascii="Times New Roman"/>
          <w:b w:val="false"/>
          <w:i w:val="false"/>
          <w:color w:val="000000"/>
          <w:sz w:val="28"/>
        </w:rPr>
        <w:t>
      10) "ЖСН/БСН" ашық жолағында ақша алушының жеке сәйкестендіру нөмірі (бизнес-сәйкестендіру нөмірі) көрсетіледі;</w:t>
      </w:r>
    </w:p>
    <w:bookmarkEnd w:id="14"/>
    <w:bookmarkStart w:name="z19" w:id="15"/>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15"/>
    <w:bookmarkStart w:name="z20" w:id="16"/>
    <w:p>
      <w:pPr>
        <w:spacing w:after="0"/>
        <w:ind w:left="0"/>
        <w:jc w:val="both"/>
      </w:pPr>
      <w:r>
        <w:rPr>
          <w:rFonts w:ascii="Times New Roman"/>
          <w:b w:val="false"/>
          <w:i w:val="false"/>
          <w:color w:val="000000"/>
          <w:sz w:val="28"/>
        </w:rPr>
        <w:t>
      12) "БСК" ашық жолағында ақшаны алушы банктің банктік сәйкестендіру коды көрсетіледі;</w:t>
      </w:r>
    </w:p>
    <w:bookmarkEnd w:id="16"/>
    <w:bookmarkStart w:name="z21" w:id="17"/>
    <w:p>
      <w:pPr>
        <w:spacing w:after="0"/>
        <w:ind w:left="0"/>
        <w:jc w:val="both"/>
      </w:pPr>
      <w:r>
        <w:rPr>
          <w:rFonts w:ascii="Times New Roman"/>
          <w:b w:val="false"/>
          <w:i w:val="false"/>
          <w:color w:val="000000"/>
          <w:sz w:val="28"/>
        </w:rPr>
        <w:t>
      13) "ЖСК" ашық жолағында банктен ақша алушының банктік шотының нөмірі көрсетіледі;</w:t>
      </w:r>
    </w:p>
    <w:bookmarkEnd w:id="17"/>
    <w:bookmarkStart w:name="z22" w:id="18"/>
    <w:p>
      <w:pPr>
        <w:spacing w:after="0"/>
        <w:ind w:left="0"/>
        <w:jc w:val="both"/>
      </w:pPr>
      <w:r>
        <w:rPr>
          <w:rFonts w:ascii="Times New Roman"/>
          <w:b w:val="false"/>
          <w:i w:val="false"/>
          <w:color w:val="000000"/>
          <w:sz w:val="28"/>
        </w:rPr>
        <w:t>
      14) "Түсімдер БСК"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18"/>
    <w:bookmarkStart w:name="z23" w:id="19"/>
    <w:p>
      <w:pPr>
        <w:spacing w:after="0"/>
        <w:ind w:left="0"/>
        <w:jc w:val="both"/>
      </w:pPr>
      <w:r>
        <w:rPr>
          <w:rFonts w:ascii="Times New Roman"/>
          <w:b w:val="false"/>
          <w:i w:val="false"/>
          <w:color w:val="000000"/>
          <w:sz w:val="28"/>
        </w:rPr>
        <w:t>
      15) "Төлем мәртебесі" ашық жолағында "ағымдағы" не "түпкілікті" деп көрсетіледі;</w:t>
      </w:r>
    </w:p>
    <w:bookmarkEnd w:id="19"/>
    <w:bookmarkStart w:name="z24" w:id="20"/>
    <w:p>
      <w:pPr>
        <w:spacing w:after="0"/>
        <w:ind w:left="0"/>
        <w:jc w:val="both"/>
      </w:pPr>
      <w:r>
        <w:rPr>
          <w:rFonts w:ascii="Times New Roman"/>
          <w:b w:val="false"/>
          <w:i w:val="false"/>
          <w:color w:val="000000"/>
          <w:sz w:val="28"/>
        </w:rPr>
        <w:t>
      16)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20"/>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осы аударымдар жүзеге асырылатын салық және бюджетке төленетін басқа да міндетті төлемдерді төлеу кезінде мемлекеттік мекеменің заңды тұлға болып табылатын құрылымдық бөлімшелерінің атауы мен БСН-і;</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Электрондық мемлекеттік сатып алу" АИАЖ, ЭШФ АЖ, "Қазынашылық-клиент" АЖ интеграциялау арқылы автоматты түрде қалыптастырылған төлеуге берілетін шотты алған жағдайда, "Төлем мақсаты" жолында ЭШФ-ден төлемнің мақсаты автоматты түрде көрсетіледі, бұл ретте хабарламаның нөмірі, күні және растайтын құжаттың нөмірі, күні көрсетілмейді;</w:t>
      </w:r>
    </w:p>
    <w:bookmarkStart w:name="z25" w:id="21"/>
    <w:p>
      <w:pPr>
        <w:spacing w:after="0"/>
        <w:ind w:left="0"/>
        <w:jc w:val="both"/>
      </w:pPr>
      <w:r>
        <w:rPr>
          <w:rFonts w:ascii="Times New Roman"/>
          <w:b w:val="false"/>
          <w:i w:val="false"/>
          <w:color w:val="000000"/>
          <w:sz w:val="28"/>
        </w:rPr>
        <w:t>
      17) "Сомасы" ашық жолағында төлеуге берілетін шоттағы теңге және тиын сомасы санмен көрсетіледі;</w:t>
      </w:r>
    </w:p>
    <w:bookmarkEnd w:id="21"/>
    <w:bookmarkStart w:name="z26" w:id="22"/>
    <w:p>
      <w:pPr>
        <w:spacing w:after="0"/>
        <w:ind w:left="0"/>
        <w:jc w:val="both"/>
      </w:pPr>
      <w:r>
        <w:rPr>
          <w:rFonts w:ascii="Times New Roman"/>
          <w:b w:val="false"/>
          <w:i w:val="false"/>
          <w:color w:val="000000"/>
          <w:sz w:val="28"/>
        </w:rPr>
        <w:t>
      18)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22"/>
    <w:bookmarkStart w:name="z27" w:id="23"/>
    <w:p>
      <w:pPr>
        <w:spacing w:after="0"/>
        <w:ind w:left="0"/>
        <w:jc w:val="both"/>
      </w:pPr>
      <w:r>
        <w:rPr>
          <w:rFonts w:ascii="Times New Roman"/>
          <w:b w:val="false"/>
          <w:i w:val="false"/>
          <w:color w:val="000000"/>
          <w:sz w:val="28"/>
        </w:rPr>
        <w:t>
      19)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23"/>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bookmarkStart w:name="z28" w:id="24"/>
    <w:p>
      <w:pPr>
        <w:spacing w:after="0"/>
        <w:ind w:left="0"/>
        <w:jc w:val="both"/>
      </w:pPr>
      <w:r>
        <w:rPr>
          <w:rFonts w:ascii="Times New Roman"/>
          <w:b w:val="false"/>
          <w:i w:val="false"/>
          <w:color w:val="000000"/>
          <w:sz w:val="28"/>
        </w:rPr>
        <w:t>
      20)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24"/>
    <w:bookmarkStart w:name="z29" w:id="25"/>
    <w:p>
      <w:pPr>
        <w:spacing w:after="0"/>
        <w:ind w:left="0"/>
        <w:jc w:val="both"/>
      </w:pPr>
      <w:r>
        <w:rPr>
          <w:rFonts w:ascii="Times New Roman"/>
          <w:b w:val="false"/>
          <w:i w:val="false"/>
          <w:color w:val="000000"/>
          <w:sz w:val="28"/>
        </w:rPr>
        <w:t>
      21)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26"/>
    <w:p>
      <w:pPr>
        <w:spacing w:after="0"/>
        <w:ind w:left="0"/>
        <w:jc w:val="both"/>
      </w:pPr>
      <w:r>
        <w:rPr>
          <w:rFonts w:ascii="Times New Roman"/>
          <w:b w:val="false"/>
          <w:i w:val="false"/>
          <w:color w:val="000000"/>
          <w:sz w:val="28"/>
        </w:rPr>
        <w:t>
      "Қазынашылық-клиент" АЖ-да жұмыс істеу үшін аумақтық қазынашылық бөлімшелерімен келісім жасасқан мемлекеттік мекемелер/квазимемлекеттік сектор субъектілер 5-15А нысаны бойынша ақша алушылардың тиісті шотына жүргізілген төлемдер бойынша үзінді көшірмелерді дербес қалыптастырады.</w:t>
      </w:r>
    </w:p>
    <w:p>
      <w:pPr>
        <w:spacing w:after="0"/>
        <w:ind w:left="0"/>
        <w:jc w:val="both"/>
      </w:pPr>
      <w:r>
        <w:rPr>
          <w:rFonts w:ascii="Times New Roman"/>
          <w:b w:val="false"/>
          <w:i w:val="false"/>
          <w:color w:val="000000"/>
          <w:sz w:val="28"/>
        </w:rPr>
        <w:t>
      "Қазынашылық-клиент" АЖ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378-19-тармақ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27"/>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өтінім аумақтық қазынашылық бөлімшелерінде ашылған қазынашылық сүйемелдеу кезінде бас мердігер шотының деректемелерін көрсете отырып, "Қазынашылық-Клиент" АЖ арқылы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беру жолымен аумақтық қазынашылық бөлімшесіне беріледі.";</w:t>
      </w:r>
    </w:p>
    <w:bookmarkStart w:name="z34" w:id="2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89-қосымша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29"/>
    <w:bookmarkStart w:name="z36"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37" w:id="3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1"/>
    <w:bookmarkStart w:name="z38" w:id="3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2"/>
    <w:bookmarkStart w:name="z39" w:id="3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1235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89-қосымша</w:t>
            </w:r>
          </w:p>
        </w:tc>
      </w:tr>
    </w:tbl>
    <w:bookmarkStart w:name="z42" w:id="34"/>
    <w:p>
      <w:pPr>
        <w:spacing w:after="0"/>
        <w:ind w:left="0"/>
        <w:jc w:val="left"/>
      </w:pPr>
      <w:r>
        <w:rPr>
          <w:rFonts w:ascii="Times New Roman"/>
          <w:b/>
          <w:i w:val="false"/>
          <w:color w:val="000000"/>
        </w:rPr>
        <w:t xml:space="preserve"> Төлеуге берілетін шот № _______ Күні __ жылғы "___" ____________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1"/>
        <w:gridCol w:w="1246"/>
        <w:gridCol w:w="2120"/>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БСК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болған кезде _________________________________</w:t>
      </w:r>
    </w:p>
    <w:p>
      <w:pPr>
        <w:spacing w:after="0"/>
        <w:ind w:left="0"/>
        <w:jc w:val="both"/>
      </w:pPr>
      <w:r>
        <w:rPr>
          <w:rFonts w:ascii="Times New Roman"/>
          <w:b w:val="false"/>
          <w:i w:val="false"/>
          <w:color w:val="000000"/>
          <w:sz w:val="28"/>
        </w:rPr>
        <w:t>
      Бас бухгалтердің тегі, аты, әкесінің аты болған кезде _____________________________</w:t>
      </w:r>
    </w:p>
    <w:p>
      <w:pPr>
        <w:spacing w:after="0"/>
        <w:ind w:left="0"/>
        <w:jc w:val="both"/>
      </w:pPr>
      <w:r>
        <w:rPr>
          <w:rFonts w:ascii="Times New Roman"/>
          <w:b w:val="false"/>
          <w:i w:val="false"/>
          <w:color w:val="000000"/>
          <w:sz w:val="28"/>
        </w:rPr>
        <w:t>
      Үлгі (1-жай, 2-қосымшамен зейнетақы (міндетті және кәсіптік) жарналары, 3-жалақы мен дивидендтерді аудару, 4-әлеуметтік аударымдар, 5 - міндетті әлеуметтік медициналық сақтандыруға аударымдар және (немесе) жарналар); №_ электрондық шот-фактура (ЭШФ) негізінде № хабарламамен (ЖА) келісу.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