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2b1b" w14:textId="9e82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2018 жылғы 25 желтоқсандағы № 6С-37/10 "2019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Степногорск қалалық мәслихатының 2019 жылғы 31 шілдедегі № 6С-42/3 шешімі. Ақмола облысының Әділет департаментінде 2019 жылғы 5 тамызда № 7314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Үкiметiнiң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Степногорск қалалық мәслихаты ШЕШIМ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"2019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2018 жылғы 25 желтоқсандағы № 6С-37/10 (Нормативтік құқықтық актілерді мемлекеттік тіркеу тізілімінде № 7015 болып тіркелген, 2019 жылғы 10 қаңтарда "Степногорск ақшамы" және "Вечерний Степногорск" аймақтық қоғамдық-саяси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жүз еселік айлық есептiк көрсеткiшке тең сомада көтерме жәрдемақы;"</w:t>
      </w:r>
    </w:p>
    <w:bookmarkStart w:name="z4" w:id="3"/>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Н.Подолько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w:t>
            </w:r>
            <w:r>
              <w:br/>
            </w:r>
            <w:r>
              <w:rPr>
                <w:rFonts w:ascii="Times New Roman"/>
                <w:b w:val="false"/>
                <w:i/>
                <w:color w:val="000000"/>
                <w:sz w:val="20"/>
              </w:rPr>
              <w:t>әкімінің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Г.Әбілова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