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5148" w14:textId="db25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2019 жылғы 18 желтоқсандағы № 15 шешімі. Ақмола облысының Әділет департаментінде 2019 жылғы 19 желтоқсанда № 7581 болып тіркелді. Күші жойылды - Ақмола облысы Атбасар ауданы әкімінің 2020 жылғы 9 маусымдағы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әкімінің 09.06.2020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11 сәуірдегі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 әкімдігінің жанындағы төтенше жағдайлардың алдын алу және жою жөніндегі аудандық комиссиясының кезектен тыс жедел отырысының 2019 жылғы 22 қарашадағы № 13 хаттамасының негізінде,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 Атбасар қаласында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аудан әкімінің орынбасары Б.Т.Қамбатыров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2019 жылдың 22 қарашасынан бастап туындаған құқықтык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