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9707" w14:textId="f6a9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Бурабай ауданы әкімдігінің 2019 жылғы 3 желтоқсандағы № а-11/549 қаулысы. Ақмола облысының Әділет департаментінде 2019 жылғы 9 желтоқсанда № 7562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1. Геологиялық зерттеуге және пайдалы қазбаларды барлауға байланысты жер қойнауын пайдалану мақсаттары үшін Бурабай ауданы Успеноюрьев ауылдық округінің әкімшілік шекараларында орналасқан "RG Gold" жауапкершілігі шектеулі серіктестігіне жалпы алаңы 30,72 гектар жер учаскелерін алып қоймастан 2020 жылғы 31 желтоқсан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Геологиялық зерттеуге және пайдалы қазбаларды барлауға байланысты жер қойнауын пайдалану мақсаттары жер учаскесін пайдаланған кезде "RG Gold"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Бурабай ауданы әкімінің орынбасары У.М.Ғабдуллинге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