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a4b1" w14:textId="cb2a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2017 жылғы 21 желтоқсандағы № 272 "Ақтөбе қаласы бойынша сот шешімімен қоммуналдық меншікке түскен болып танылған иесіз қалдықтарды басқару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22 қарашадағы № 487 шешімі. Ақтөбе облысының Әділет департаментінде 2019 жылғы 27 қарашада № 6493 болып тіркелді. Күші жойылды - Ақтөбе облысы Ақтөбе қалалық мәслихатының 2021 жылғы 15 желтоқсандағы № 116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15.12.2021 № 116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2017 жылғы 21 желтоқсандағы № 272 "Ақтөбе қаласы бойынша сот шешімімен қоммуналдық меншікке түскен болып танылған иесіз қалдықтарды басқару қағидаларын бекіту туралы" (Нормативтік құқықтық актілерді мемлекеттік тіркеу тізілімінде № 5831 болып тіркелген, 2018 жылғы 22 қаңтарында электрондық түрде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Ақтөбе қаласы бойынша сот шешімімен қоммуналдық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Қалдықтарды есепке алу, сақтау, бағалау және одан әрi пайдалану Қазақстан Республикасы Үкіметінің 2002 жылғы 26 шілдедегі № 833 "Жекелеген негіздер бойынша мемлекет меншігіне айналдырылған (түскен) мүлікті есепке алудың, сақтаудың, бағалаудың және одан әрі пайдаланудың кейбір мәселелері"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