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e7f3" w14:textId="6b5e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31 қазандағы № 260 шешімі. Ақтөбе облысының Әділет департаментінде 2019 жылғы 5 қарашада № 6440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"6 105 273,7" сандары "6 187 273,7"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"96 261" сандары "96 855,0" сандарымен ауыстырылсын, оның ішінде: </w:t>
      </w:r>
    </w:p>
    <w:p>
      <w:pPr>
        <w:spacing w:after="0"/>
        <w:ind w:left="0"/>
        <w:jc w:val="both"/>
      </w:pPr>
      <w:r>
        <w:rPr>
          <w:rFonts w:ascii="Times New Roman"/>
          <w:b w:val="false"/>
          <w:i w:val="false"/>
          <w:color w:val="000000"/>
          <w:sz w:val="28"/>
        </w:rPr>
        <w:t>
      бюджеттік кредиттер - "113 625" сандары "114 219,0"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"- 216 345,7" сандары "-366 345,7"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"216 345,7" сандары "366 345,7"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2019 жылға арналған ауданның жергілікті атқарушы органының резерві – "68 747" сандары "10 000,0" сандарымен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7"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31 қазандағы № 260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6 187 273,7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31 қазандағы № 260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