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f02" w14:textId="580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2017 жылғы 10 қарашадағы № 104 "Ырғыз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25 желтоқсандағы № 262 шешімі. Ақтөбе облысының Әділет департаментінде 2019 жылғы 27 желтоқсанда № 6621 болып тіркелді. Күші жойылды - Ақтөбе облысы Ырғыз аудандық мәслихатының 2021 жылғы 31 желтоқсандағы № 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31.12.2021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2017 жылғы 10 қарашадағы № 104 "Ырғыз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5702 тіркелген, 2017 жылы 6 желтоқсанда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