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ebf" w14:textId="85a0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Жарық ауылдық округінің Қанай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2019 жылғы 22 мамырдағы № 3 шешімі. Ақтөбе облысының Әділет департаментінде 2019 жылғы 23 мамырда № 6177 болып тіркелді. Күші жойылды - Ақтөбе облысы Қобда ауданы Жарық ауылдық округі әкімінің 2020 жылғы 27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Жарық ауылдық округі әкімінің 27.02.2020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инспекциясының басшысының 2019 жылғы 7 наурыздағы № 2-10-3/73 ұсынысы негізінде, Жарық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малының арасында бруцеллез ауруының анықталуына байланысты, Жарық ауылдық округінің Қанай ауылының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"Жарық ауылдық округі әкімінің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аудандық әкімдігінің интернет–ресурсында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