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3feb" w14:textId="4353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207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23 шілдедегі № 286 шешімі. Ақтөбе облысының Әділет департаментінде 2019 жылғы 25 шілдеде № 6297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207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 мемлекеттік тіркеу тізілімінде № 3-8-209 тіркелген, 2018 жылғы 27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5" w:id="3"/>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