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d542" w14:textId="6ead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Саралжын ауылдық округі әкімінің 2019 жылғы 26 ақпандағы № 2 шешімі. Ақтөбе облысының Әділет департаментінде 2019 жылғы 28 ақпанда № 5973 болып тіркелді. Күші жойылды - Ақтөбе облысы Ойыл ауданы Саралжын ауылдық округі әкімінің 2020 жылғы 27 қаңтардағы № 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Ойыл ауданы Саралжын ауылдық округі әкімінің 27.01.2020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енгiзiледi).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10–1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 Ветеринариялық бақылау және қадағалау комитетінің Ойыл аудандық аумақтық инспекциясының бас мемлекеттік ветеринариялық-санитариялық инспекторының 2019 жылдың 25 қаңтарындағы № 2-13/13 ұсынысы негізінде, Саралжын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арасында бруцеллез ауыруының анықталуына байланысты, Саралжын ауылдық округінің "Тассай" қыстағында орналасқан "Сәттібек" шаруа қожалығының аумағында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"Саралжын ауылдық округі әкімі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Ойыл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Саралжын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