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f90e" w14:textId="987f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2018 жылғы 05 наурыздағы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29-155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2019 жылғы 1 тамыздағы № 56-266 шешімі. Алматы облысы Әділет департаментінде 2019 жылы 5 тамызда № 5215 болып тіркелді. Күші жойылды - Алматы облысы Жамбыл аудандық мәслихатының 2023 жылғы 28 қыркүйектегі № 7-32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Жамбыл аудандық мәслихатының 28.09.2023 </w:t>
      </w:r>
      <w:r>
        <w:rPr>
          <w:rFonts w:ascii="Times New Roman"/>
          <w:b w:val="false"/>
          <w:i w:val="false"/>
          <w:color w:val="ff0000"/>
          <w:sz w:val="28"/>
        </w:rPr>
        <w:t>№ 7-32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Жамбыл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Жамбыл аудандық мәслихатының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05 наурыздағы № 29-155 (Нормативтік құқықтық актілерді мемлекеттік тіркеу тізілімінде </w:t>
      </w:r>
      <w:r>
        <w:rPr>
          <w:rFonts w:ascii="Times New Roman"/>
          <w:b w:val="false"/>
          <w:i w:val="false"/>
          <w:color w:val="000000"/>
          <w:sz w:val="28"/>
        </w:rPr>
        <w:t>№ 4576</w:t>
      </w:r>
      <w:r>
        <w:rPr>
          <w:rFonts w:ascii="Times New Roman"/>
          <w:b w:val="false"/>
          <w:i w:val="false"/>
          <w:color w:val="000000"/>
          <w:sz w:val="28"/>
        </w:rPr>
        <w:t xml:space="preserve"> тіркелген, 2018 жылдың 28 наурызында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тармақтары келесі редакцияда баяндалсын: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бектілген ең жоғары мөлшері.";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аурулары бар азаматтарға отбасы табыстарын есепке алмай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Жамбыл аудандық мәслихатының "Әлеуметтік инфрақұрылымдарды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