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cf9b" w14:textId="fa0c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2019 жылғы 24 қаңтардағы № 13/01 қаулысы. Қарағанды облысының Әділет департаментінде 2019 жылғы 6 ақпанда № 5177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 - 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2018 жылғы 25 қазандағы жер учаскелерін беру жөніндегі комиссия отырысының хаттамасы, 2018 жылғы 14 қарашадағы жерге орналастыру жобасы негізінде,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"SilkNetCom" жауапкершілігі шектеулі серіктестігіне талшықты-оптикалық байланыс желісін тарту үшін, Балқаш қаласының аумағында орналасқан, ауданы 1,9673 га жер учаскесіне жер пайдаланушылардан жер учаскелерді алып қоймай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"SilkNetCom" жауапкершілігі шектеулі серіктестігі талшықты-оптикалық байланыс желісін кабельді оржолсыз тарту әдісімен жүргізсін (келісім бойынша).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"Балқаш қаласының жер қатынастары, сәулет және қала құрылысы бөлімі"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Балқаш қаласы әкімінің орынбасары Айдын Боранбаевич Капашевке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