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a99f" w14:textId="72ca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маслихатының 2019 жылғы 10 сәуірдегі № 296 "2019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алуға немесе салуға бюджеттік несие түрінде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2019 жылғы 16 қыркүйектегі № 323 шешімі. Қарағанды облысының Әділет департаментінде 2019 жылғы 19 қыркүйекте № 5483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2019 жылғы 10 сәуірдегі № 296 "2019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алуға немесе салуға бюджеттік несие түрінде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№5286 болып тіркелген, Қазақстан Республикасы нормативтік құқықтық актілерінің Эталондық бақылау банкінде электрондық түрде 2019 жылғы 18 сәуірде және аудандық "Тоқырауын тынысы" газетінің 2019 жылғы 19 сәуірдегі №16 (7699) санында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2019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несие түрінде әлеуметтік қолдау шаралары ұсынылсын".</w:t>
      </w:r>
    </w:p>
    <w:bookmarkEnd w:id="2"/>
    <w:bookmarkStart w:name="z8" w:id="3"/>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