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e381" w14:textId="2c7e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15 сәуірдегі № 387 шешімі. Қостанай облысының Әділет департаментінде 2019 жылғы 19 сәуірде № 8363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2019-2021 жылдарға арналған облыстық бюджеті туралы" Қостанай облыстық мәслихатының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194 903 856,7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5 586 856,0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637 103,8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12 430,0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188 667 466,9 мың теңге;</w:t>
      </w:r>
    </w:p>
    <w:bookmarkEnd w:id="7"/>
    <w:bookmarkStart w:name="z13" w:id="8"/>
    <w:p>
      <w:pPr>
        <w:spacing w:after="0"/>
        <w:ind w:left="0"/>
        <w:jc w:val="both"/>
      </w:pPr>
      <w:r>
        <w:rPr>
          <w:rFonts w:ascii="Times New Roman"/>
          <w:b w:val="false"/>
          <w:i w:val="false"/>
          <w:color w:val="000000"/>
          <w:sz w:val="28"/>
        </w:rPr>
        <w:t>
      2) шығындар – 197 116 623,2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9 888 315,0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16 373 813,0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6 485 498,0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- 12 101 081,5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12 101 081,5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сәуірдегі</w:t>
            </w:r>
            <w:r>
              <w:br/>
            </w:r>
            <w:r>
              <w:rPr>
                <w:rFonts w:ascii="Times New Roman"/>
                <w:b w:val="false"/>
                <w:i w:val="false"/>
                <w:color w:val="000000"/>
                <w:sz w:val="20"/>
              </w:rPr>
              <w:t>№ 387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1-қосымша</w:t>
            </w:r>
          </w:p>
        </w:tc>
      </w:tr>
    </w:tbl>
    <w:bookmarkStart w:name="z24"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194903856,7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188667466,9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170578260,0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170578260,0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197116623,2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сәуірдегі</w:t>
            </w:r>
            <w:r>
              <w:br/>
            </w:r>
            <w:r>
              <w:rPr>
                <w:rFonts w:ascii="Times New Roman"/>
                <w:b w:val="false"/>
                <w:i w:val="false"/>
                <w:color w:val="000000"/>
                <w:sz w:val="20"/>
              </w:rPr>
              <w:t>№ 387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156766177,2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156628167,2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сәуірдегі</w:t>
            </w:r>
            <w:r>
              <w:br/>
            </w:r>
            <w:r>
              <w:rPr>
                <w:rFonts w:ascii="Times New Roman"/>
                <w:b w:val="false"/>
                <w:i w:val="false"/>
                <w:color w:val="000000"/>
                <w:sz w:val="20"/>
              </w:rPr>
              <w:t>№ 387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3-қосымша</w:t>
            </w:r>
          </w:p>
        </w:tc>
      </w:tr>
    </w:tbl>
    <w:bookmarkStart w:name="z30"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