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c59a" w14:textId="1c4c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7 тамыздағы № 390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12 тамыздағы № 338 қаулысы. Қостанай облысының Әділет департаментінде 2019 жылғы 14 тамызда № 8619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2017 жылғы 7 тамыздағы </w:t>
      </w:r>
      <w:r>
        <w:rPr>
          <w:rFonts w:ascii="Times New Roman"/>
          <w:b w:val="false"/>
          <w:i w:val="false"/>
          <w:color w:val="000000"/>
          <w:sz w:val="28"/>
        </w:rPr>
        <w:t>№ 390</w:t>
      </w:r>
      <w:r>
        <w:rPr>
          <w:rFonts w:ascii="Times New Roman"/>
          <w:b w:val="false"/>
          <w:i w:val="false"/>
          <w:color w:val="000000"/>
          <w:sz w:val="28"/>
        </w:rPr>
        <w:t xml:space="preserve"> қаулысына (2017 жылғы 7 қыркүйектегі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7179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3"/>
    <w:bookmarkStart w:name="z9" w:id="4"/>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