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d1057" w14:textId="ced10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 Азаматтық авиация комитетінің "Казаэронавигация" шаруашылық жүргізу құқығындағы республикалық мемлекетік кәсіпорнының Қостанай филиалына 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қаласы әкімдігінің 2019 жылғы 5 сәуірдегі № 682 қаулысы. Қостанай облысының Әділет департаментінде 2019 жылғы 10 сәуірде № 8326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18-бабына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1. Қазақстан Республикасы Инвестициялар және даму министрлігі азаматтық авиация комитетінің "Қазаэронавигация" шаруашылық жүргізу құқығындағы республикалық мемлекеттік кәсіпорнының Қостанай филиалына Қостанай қаласы, Аэропорт көшесі, 3 ғимарат мекенжайы бойынша коммуналдық, инженерлік, электр және басқа да желілер мен тораптарды жүргізу және пайдалану мақсатында алаңы 98,4780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қаласы әкімдігінің жер қатынастары бөлімі" мемлекеттік мекемесі Қазақстан Республикасы заңнамамен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Қостанай қаласы әкімдігінің интернет-ресурсында орналастыруын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қаласы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