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a1f" w14:textId="8a2e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Аңғар ауылы әкімінің 2019 жылғы 27 маусымдағы № 3 шешімі. Қостанай облысының Әділет департаментінде 2019 жылғы 28 маусымда № 8559 болып тіркелді. Күші жойылды - Қостанай облысы Арқалық қаласы Аңғар ауылы әкімінің 2021 жылғы 26 қарашадағы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Аңғар ауылы әкімінің 26.11.2021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Арқалық қаласы Аңғар ауылының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Арқалық қаласы Аңғар ауылының аумағында жалпы алаңы 3,3838 гектар жер учаскелерін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Аңғар ауылы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оны ресми жариялағанынан кейін Арқалық қаласы әкімдігінің ресми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Аңғар ауылының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