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d492" w14:textId="b4dd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Киев ауылдық округі әкімінің 2019 жылғы 21 мамырдағы № 1 шешімі. Қостанай облысының Әділет департаментінде 2019 жылғы 24 мамырда № 8475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 Киев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"Ұзынкөл ауданының тұрғын үй-коммуналдық шаруашылық, жолаушылар көлігі және автомобиль жолдары бөлімі" мемлекеттік мекемесіне Ұзынкөл ауданы Киев ауылдық округінің аумағында жалпы көлемі 0,0045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Киев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Киев аулдық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