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b1a6" w14:textId="344b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11 қыркүйектегі "Акваөсіру (балық өсіру) өнімділігі мен сапасын арттыруды субсидиялау" мемлекеттік көрсетілетін қызмет регламентін бекіту туралы" № 317/5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23 мамырдағы № 162/2 қаулысы. Павлодар облысының Әділет департаментінде 2019 жылғы 27 мамырда № 6387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11 қыркүйектегі "Акваөсіру (балық өсіру) өнiмдiлiгi мен сапасын арттыруды субсидиялау" мемлекеттік көрсетілетін қызмет регламентін бекіту туралы" № 317/5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6077 болып тіркелген, 2018 жылғы 15 қазанда Қазақстан Республикасы нормативтік құқықтық актілерінің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"Акваөсіру (балық өсіру) өнiмдiлiгi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162/2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317/5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"Акваөсіру (балық өсіру) өнімділігі мен сапасын арттыруды</w:t>
      </w:r>
      <w:r>
        <w:br/>
      </w:r>
      <w:r>
        <w:rPr>
          <w:rFonts w:ascii="Times New Roman"/>
          <w:b/>
          <w:i w:val="false"/>
          <w:color w:val="000000"/>
        </w:rPr>
        <w:t>субсидиялау"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"Акваөсіру (балық өсіру) өнімділігі мен сапасын арттыруды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Өтінім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бұйрығымен</w:t>
      </w:r>
      <w:r>
        <w:rPr>
          <w:rFonts w:ascii="Times New Roman"/>
          <w:b w:val="false"/>
          <w:i w:val="false"/>
          <w:color w:val="000000"/>
          <w:sz w:val="28"/>
        </w:rPr>
        <w:t xml:space="preserve"> бекітілген "Акваөсіру (балық өсіру) өнiмдiлiгi мен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xml:space="preserve">
      Көрсетілетін қызметті алушыға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акваөсіру (балық өсіру) өнiмдiлiгi мен сапасын арттыруға субсидияларды алу үшін өтінімді электрондық цифрлық қолтаңбамен (бұдан әрі – ЭЦҚ) куәландырылған электрондық құжат нысанында порталға беру мемлекеттік қызметті көрсету бойынша рәсімді (іс-қимылды) бастау үшін негіз болып табылады.</w:t>
      </w:r>
    </w:p>
    <w:bookmarkEnd w:id="12"/>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хабарлама болып табылады.</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сағат.</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1) ұсынылған құжаттарды қабылдау, төлем тапсырмасына қол қою және көрсетілетін қызметті берушінің басшысына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бизнес-процесінің анықтамалығында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w:t>
      </w:r>
      <w:r>
        <w:br/>
      </w:r>
      <w:r>
        <w:rPr>
          <w:rFonts w:ascii="Times New Roman"/>
          <w:b/>
          <w:i w:val="false"/>
          <w:color w:val="000000"/>
        </w:rPr>
        <w:t>(қызметкерлер) рәсімдерінің (іс-қимылдарының) реттілігін сипаттау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70"/>
        <w:gridCol w:w="5141"/>
        <w:gridCol w:w="1702"/>
        <w:gridCol w:w="1838"/>
        <w:gridCol w:w="1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p>
    <w:bookmarkStart w:name="z28" w:id="24"/>
    <w:p>
      <w:pPr>
        <w:spacing w:after="0"/>
        <w:ind w:left="0"/>
        <w:jc w:val="left"/>
      </w:pPr>
      <w:r>
        <w:rPr>
          <w:rFonts w:ascii="Times New Roman"/>
          <w:b/>
          <w:i w:val="false"/>
          <w:color w:val="000000"/>
        </w:rPr>
        <w:t xml:space="preserve"> Шартты белгілер мен қысқартулар: </w:t>
      </w:r>
    </w:p>
    <w:bookmarkEnd w:id="24"/>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w:t>
            </w:r>
            <w:r>
              <w:br/>
            </w:r>
            <w:r>
              <w:rPr>
                <w:rFonts w:ascii="Times New Roman"/>
                <w:b w:val="false"/>
                <w:i w:val="false"/>
                <w:color w:val="000000"/>
                <w:sz w:val="20"/>
              </w:rPr>
              <w:t>өнімділігі мен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"Акваөсіру (балық өсіру) өнімділігін және сапасын арттыруды субсидиялау"</w:t>
      </w:r>
      <w:r>
        <w:br/>
      </w:r>
      <w:r>
        <w:rPr>
          <w:rFonts w:ascii="Times New Roman"/>
          <w:b/>
          <w:i w:val="false"/>
          <w:color w:val="000000"/>
        </w:rPr>
        <w:t xml:space="preserve">мемлекеттік қызметін көрсетудің бизнес-процесінің анықтамалығы </w:t>
      </w:r>
    </w:p>
    <w:bookmarkEnd w:id="25"/>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12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