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72d5" w14:textId="63c7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2018 жылғы 29 желтоқсандағы № 25-11 "2019-2021 жылдарға арналған Мағжан Жұмабаев ауданы Возвышен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2019 жылғы 14 маусымдағы № 30-2 шешімі. Солтүстік Қазақстан облысының Әділет департаментінде 2019 жылғы 21 маусымда № 5448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2018 жылғы 29 желтоқсандағы № 25-11 "2019-2021 жылдарға арналған Мағжан Жұмабаев ауданы Возвышен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5127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Мағжан Жұмабаев ауданы Возвышен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37 097,0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9 135,0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27 962,0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39 511,8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(-2 414,8)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2 414,8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2 414,8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4), 5)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Возвышенка ауылындағы автомобиль жолдарының жұмыс істеуін қамтамасыз етуге;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әкімшілік қызметшілердің жекелеген санаттарының жалақысын көтеруге.";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2019 жылғы 14 маусымдағы № 30-2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29 желтоқсандағы № 25-11 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2019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