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8fbe" w14:textId="7e38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Шал ақын ауданының ауылдық жерінде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2019 жылғы 18 наурыздағы № 35/4 шешімі. Солтүстік Қазақстан облысының Әділет департаментінде 2019 жылғы 27 наурызда № 5265 болып тіркелді</w:t>
      </w:r>
    </w:p>
    <w:p>
      <w:pPr>
        <w:spacing w:after="0"/>
        <w:ind w:left="0"/>
        <w:jc w:val="left"/>
      </w:pPr>
      <w:bookmarkStart w:name="z4" w:id="0"/>
      <w:r>
        <w:rPr>
          <w:rFonts w:ascii="Times New Roman"/>
          <w:b/>
          <w:i w:val="false"/>
          <w:color w:val="000000"/>
        </w:rPr>
        <w:t xml:space="preserve"> Азаматтық қызметшілер болып табылатын және Солтүстік Қазақстан облысы Шал ақын ауданының ауылдық жерінде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bookmarkEnd w:id="0"/>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Шал ақын ауданы мәслихатының 30.03.2022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Солтүстік Қазақстан облысы Шал ақын ауданының ауылдық жерінде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30.03.2022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 xml:space="preserve">XXXV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