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7ca" w14:textId="a29c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бойынша тексеру комиссиясының 2019 жылғы 11 маусымдағы № 14 қаулысы. Түркістан облысының Әдiлет департаментiнде 2019 жылғы 13 маусымда № 5087 болып тiркелдi. Күші жойылды - Түркістан облысы бойынша тексеру комиссиясының 2023 жылғы 16 тамыздағы № 11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бойынша тексеру комиссиясының 16.08.2023 № 11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тіркеудің тізілімінде № 16299 болып тіркелген), Түркістан облысы бойынша тексеру комиссиясы ҚАУЛЫ ЕТЕДІ:</w:t>
      </w:r>
    </w:p>
    <w:bookmarkStart w:name="z2" w:id="1"/>
    <w:p>
      <w:pPr>
        <w:spacing w:after="0"/>
        <w:ind w:left="0"/>
        <w:jc w:val="both"/>
      </w:pPr>
      <w:r>
        <w:rPr>
          <w:rFonts w:ascii="Times New Roman"/>
          <w:b w:val="false"/>
          <w:i w:val="false"/>
          <w:color w:val="000000"/>
          <w:sz w:val="28"/>
        </w:rPr>
        <w:t xml:space="preserve">
      1. Түркістан облысы бойынша тексеру комиссиясының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бойынша тексеру комиссиясының 2018 жылғы 06 сәуірдегі № 3 "Оңтүстік Қазақстан облысы бойынша тексеру комиссиясының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тіркеудің тізіліміне № 4544 болып тіркелген, 2018 жылғы 15 мамырдағы "Оңтүстік Қазақстан" газетінде және 2018 жылғы 02 мамырда Қазақстан Республикасының нормативтік құқықтық актілердің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бойынша тексеру комиссиясы"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бойынша тексеру комиссиясының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Түркістан облысы бойынша тексеру комиссиясының аппарат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Сапарбеков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 2019</w:t>
            </w:r>
            <w:r>
              <w:br/>
            </w:r>
            <w:r>
              <w:rPr>
                <w:rFonts w:ascii="Times New Roman"/>
                <w:b w:val="false"/>
                <w:i w:val="false"/>
                <w:color w:val="000000"/>
                <w:sz w:val="20"/>
              </w:rPr>
              <w:t>жылғы 11 маусымдағы № 14</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Түркістан облысы бойынша тексеру комиссиясының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Түркістан облысы бойынша тексеру комиссиясының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 бойынша тексеру комиссиясының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Түркістан облысы бойынша тексеру комиссиясының төрағасын бағалау Түркістан облыстық маслихат депутаттарының қатарынан құрылған комиссиямен жүргізіледі.</w:t>
      </w:r>
    </w:p>
    <w:bookmarkEnd w:id="13"/>
    <w:bookmarkStart w:name="z16" w:id="14"/>
    <w:p>
      <w:pPr>
        <w:spacing w:after="0"/>
        <w:ind w:left="0"/>
        <w:jc w:val="both"/>
      </w:pPr>
      <w:r>
        <w:rPr>
          <w:rFonts w:ascii="Times New Roman"/>
          <w:b w:val="false"/>
          <w:i w:val="false"/>
          <w:color w:val="000000"/>
          <w:sz w:val="28"/>
        </w:rPr>
        <w:t>
      7. Бағалау екі жеке бағыт бойынша жүргізіледі:</w:t>
      </w:r>
    </w:p>
    <w:bookmarkEnd w:id="14"/>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7" w:id="15"/>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5"/>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8" w:id="16"/>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16"/>
    <w:bookmarkStart w:name="z19" w:id="17"/>
    <w:p>
      <w:pPr>
        <w:spacing w:after="0"/>
        <w:ind w:left="0"/>
        <w:jc w:val="left"/>
      </w:pPr>
      <w:r>
        <w:rPr>
          <w:rFonts w:ascii="Times New Roman"/>
          <w:b/>
          <w:i w:val="false"/>
          <w:color w:val="000000"/>
        </w:rPr>
        <w:t xml:space="preserve"> 2-тарау. НМИ анықтау тәртібі</w:t>
      </w:r>
    </w:p>
    <w:bookmarkEnd w:id="17"/>
    <w:bookmarkStart w:name="z20" w:id="18"/>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8"/>
    <w:bookmarkStart w:name="z21" w:id="19"/>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xml:space="preserve">
      14. НМИ саны 5 құрайды. </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(тегi,аты-жөнiнiң бiрiншi әрiптерi)</w:t>
            </w:r>
          </w:p>
          <w:p>
            <w:pPr>
              <w:spacing w:after="20"/>
              <w:ind w:left="20"/>
              <w:jc w:val="both"/>
            </w:pPr>
            <w:r>
              <w:rPr>
                <w:rFonts w:ascii="Times New Roman"/>
                <w:b w:val="false"/>
                <w:i w:val="false"/>
                <w:color w:val="000000"/>
                <w:sz w:val="20"/>
              </w:rPr>
              <w:t>күнi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(тегi, аты-жөнiнiң бiрiншi әрiптерi)</w:t>
            </w:r>
          </w:p>
          <w:p>
            <w:pPr>
              <w:spacing w:after="20"/>
              <w:ind w:left="20"/>
              <w:jc w:val="both"/>
            </w:pPr>
            <w:r>
              <w:rPr>
                <w:rFonts w:ascii="Times New Roman"/>
                <w:b w:val="false"/>
                <w:i w:val="false"/>
                <w:color w:val="000000"/>
                <w:sz w:val="20"/>
              </w:rPr>
              <w:t>күнi _______________________</w:t>
            </w:r>
          </w:p>
          <w:p>
            <w:pPr>
              <w:spacing w:after="20"/>
              <w:ind w:left="20"/>
              <w:jc w:val="both"/>
            </w:pPr>
            <w:r>
              <w:rPr>
                <w:rFonts w:ascii="Times New Roman"/>
                <w:b w:val="false"/>
                <w:i w:val="false"/>
                <w:color w:val="000000"/>
                <w:sz w:val="20"/>
              </w:rPr>
              <w:t>қолы 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бағыттарға сәйкес нақты міндеттер қояды және тапсырмалар береді; Бөлімшенің берілген міндеттерді сапалы және уақтылы орындауына ұжымды бағыттайды және жағдай жасайды; Бөлімше жұмысын басымдылығына қарай тиімді ұйымдастырады.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бағыттарға сәйкес нақты міндеттер қоя алмайды және тапсырмалар бере алмайды; Берілген міндеттерді сапалы және уақтылы орындауына ұжымды бағыттамайды және жағдай жасамайды Бөлімше жұмысын басымдылығына мән бермей тиімсіз ұйымдастырады.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Тапсырмаларды жүйесіз орындайды; Сапасыз құжаттар әзірлейді; Жедел жұмыс жасамайды;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бағдарлайды; Қойылған міндеттерге қол жеткізу үшін әрбір қызметкердің әлеуетін пайдаланады; Басқа бөлімшелермен бірлесіп жоспарды жүзеге асырады және ортақ нәтижеге қол жеткізеді.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құзыреті шегінде қызметкерлерді мемлекеттік оргадармен және ұйымдармен тиімді қарым-қатынасқа бағдарламайды; Қойылған міндеттерге қол жеткізу үшін кейбір қызметкерлердің әлеуетін пайдаланады; Басқа бөлімшелермен бірлесіп жоспарды жүзеге асыра алмайды және ортақ нәтижеге қол жеткізбейді.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Міндеттерді дұрыс бөле алады; Шешім қабылдау барысында мүмкін болатын қауіптер туралы хабарлайды; Шешім қабылдау барысында альтернативті ұсыныс жасайды; Тиімді және жүйелі шешім қабылдайды; Жеке тәжірибесіне, басқа дамаңызды болып табылатын мәліметтерге негізделген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Бөлімшеде міндеттерді дұрыс бөле алмайды; Орын алуы мүмкін қауіптер туралы хабарламайды; Шешім қабылдау барысында альтернативті ұсыныс жасамайды; Тиімсіз және жүйесіз шешім қабылдайды; Шешім қабылдау барысында тек өзінің жеке тәжірибесіне және көзқарасына сенеді.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Қажетті мәліметтерді таба алады; Мүмкін болатын қауіптерді ескере отырып, мәселелерді шешудің бірнеше жолын ұсынады; Өзінің пікірін негіздей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Ұжымға жаңа басымдықтарды уақытылы жеткізеді; Өзгерістерді уақтылы елеу үшін тиімді шаралар қабылдайды; Бөлімшені тиімді басқарады және ішкі және сыртқы өзгерістер кезінде нәтижеге қол жеткізеді; Жұмыстың жаңа бағыттарын қолдану бойынша ұсыныстарын талдайды және басшылыққа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Ұжымға жаңа басымдықтарды жеткізбейді немесе мерзімнен кеш жеткізеді; Өзгерістерді уақтылы елеу үшін шаралар қабылдамайды немесе тиімсіз шаралар қабылдайды; Бөлімшені тиімсіз басқарады және ішкі және сыртқы өзгерістер кезінде нәтижеге қол жеткізбейді; Жұмыстың жаңа бағыттарын қолдану бойынша ұсыныстарын талдамайды және басшылыққа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 жақсарту жөнінде ұсыныстар енгізеді; Оларды енгізудің жаңа бағыттары мен әдістерін үйренеді; Өзгеріс жағдайларында өзін -өзі бақылайды; 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Үлгілі қызметкерлерді жоғарылату туралы ұсыныстарды қарастырып, енгізеді. Қызметкерлерді дамыту бойынша жүйелі шараларды қабылдайды; Әріптестерімен жинақталған тәжірибесімен, білімімен бөліседі, сондай-ақ, олардың даму деңгейін анықтайды; Өздігінен дамуға ұмтылысын өзінің жеке үлгісінде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Үлгілі қызметкерлерді анықтамайды және оларды жоғарылату туралы ұсыныстарды қарастырмайды; Қызметкерлерді дамыту бойынша жүйелі шараларды қабылдамайды немесе жүйесіз шараларды қабылдайды; Әріптестерімен жинақталған тәжірибесімен, білімімен бөліспейді, сондай-ақ, олардың даму деңгейін анықтамайды; Өздігінен дамуға ұмтылысын өзінің жеке үлгісінде көрсетуге көңіл бөлмейді.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білімдер мен технологияларға қызығушылық танытпайды; Өзіндігінен дамуға ұмтылмайды, жаңа ақпараттар мен оны қолдану әдістерімен қызықпайды;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Жұмыскерлермен әдептілік нормалары мен стандарттарының сақталуын қамтамасыз етеді; Ұжымда мемлекеттік қызметтің әдептілік нормалары мен стандарттарына берілгендік деңгейін дамытады;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Әдептілік нормалардың бұзылғандығын елеп ескереді және анықтайды;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Жұмыскерлермен әдептілік нормалары мен стандарттарының сақталуын қамтамасыз етпейді; Мемлекеттік қызмет жолын ұстаушылық әркімнің жеке ісі деп есептейді;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 Әдептілік нормалардың бұзылғандығын елеп ескермейді; Риясыздық, әділдік, адал ниеттілік, сондай-ақ, жеке тұлғаның намысы мен абыройына құрмет танытпайды;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Тексерiлдi:</w:t>
      </w:r>
    </w:p>
    <w:p>
      <w:pPr>
        <w:spacing w:after="0"/>
        <w:ind w:left="0"/>
        <w:jc w:val="both"/>
      </w:pPr>
      <w:r>
        <w:rPr>
          <w:rFonts w:ascii="Times New Roman"/>
          <w:b w:val="false"/>
          <w:i w:val="false"/>
          <w:color w:val="000000"/>
          <w:sz w:val="28"/>
        </w:rPr>
        <w:t xml:space="preserve">Комиссияның хатшысы: __________________________________ Күнi: _____________ </w:t>
      </w:r>
    </w:p>
    <w:p>
      <w:pPr>
        <w:spacing w:after="0"/>
        <w:ind w:left="0"/>
        <w:jc w:val="both"/>
      </w:pPr>
      <w:r>
        <w:rPr>
          <w:rFonts w:ascii="Times New Roman"/>
          <w:b w:val="false"/>
          <w:i w:val="false"/>
          <w:color w:val="000000"/>
          <w:sz w:val="28"/>
        </w:rPr>
        <w:t xml:space="preserve">                                              (тегi, аты-жөнi, қолы)</w:t>
      </w:r>
    </w:p>
    <w:p>
      <w:pPr>
        <w:spacing w:after="0"/>
        <w:ind w:left="0"/>
        <w:jc w:val="both"/>
      </w:pPr>
      <w:r>
        <w:rPr>
          <w:rFonts w:ascii="Times New Roman"/>
          <w:b w:val="false"/>
          <w:i w:val="false"/>
          <w:color w:val="000000"/>
          <w:sz w:val="28"/>
        </w:rPr>
        <w:t xml:space="preserve">Комиссияның төрағасы: ___________________________________ Күнi: ____________ </w:t>
      </w:r>
    </w:p>
    <w:p>
      <w:pPr>
        <w:spacing w:after="0"/>
        <w:ind w:left="0"/>
        <w:jc w:val="both"/>
      </w:pPr>
      <w:r>
        <w:rPr>
          <w:rFonts w:ascii="Times New Roman"/>
          <w:b w:val="false"/>
          <w:i w:val="false"/>
          <w:color w:val="000000"/>
          <w:sz w:val="28"/>
        </w:rPr>
        <w:t xml:space="preserve">                                               (тегi, аты-жөнi, қолы)</w:t>
      </w:r>
    </w:p>
    <w:p>
      <w:pPr>
        <w:spacing w:after="0"/>
        <w:ind w:left="0"/>
        <w:jc w:val="both"/>
      </w:pPr>
      <w:r>
        <w:rPr>
          <w:rFonts w:ascii="Times New Roman"/>
          <w:b w:val="false"/>
          <w:i w:val="false"/>
          <w:color w:val="000000"/>
          <w:sz w:val="28"/>
        </w:rPr>
        <w:t xml:space="preserve">Комиссияның мүшесi: ___________________________________ Күнi: ______________ </w:t>
      </w:r>
    </w:p>
    <w:p>
      <w:pPr>
        <w:spacing w:after="0"/>
        <w:ind w:left="0"/>
        <w:jc w:val="both"/>
      </w:pPr>
      <w:r>
        <w:rPr>
          <w:rFonts w:ascii="Times New Roman"/>
          <w:b w:val="false"/>
          <w:i w:val="false"/>
          <w:color w:val="000000"/>
          <w:sz w:val="28"/>
        </w:rPr>
        <w:t xml:space="preserve">                                              (тегi,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header.xml" Type="http://schemas.openxmlformats.org/officeDocument/2006/relationships/header" Id="rId5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