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51a1" w14:textId="bc65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2019-2023 жылдарға арналған қоршаған орта сапасының нысаналы көрсеткіштерін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13 маусымдағы № 38/409-VI шешімі. Түркістан облысының Әділет департаментінде 2019 жылғы 1 шілдеде № 5118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19-бабының</w:t>
      </w:r>
      <w:r>
        <w:rPr>
          <w:rFonts w:ascii="Times New Roman"/>
          <w:b w:val="false"/>
          <w:i w:val="false"/>
          <w:color w:val="000000"/>
          <w:sz w:val="28"/>
        </w:rPr>
        <w:t xml:space="preserve"> 3) тармақшасына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1. Қоса берілген Түркістан облысының 2019-2023 жылдарға арналған қоршаған орта сапасының нысаналы көрсеткіштері бекітілсін.</w:t>
      </w:r>
    </w:p>
    <w:bookmarkEnd w:id="1"/>
    <w:bookmarkStart w:name="z3" w:id="2"/>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оны ресми жариялағаннан кейін Түркістан облыстық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13 маусымдағы</w:t>
            </w:r>
            <w:r>
              <w:br/>
            </w:r>
            <w:r>
              <w:rPr>
                <w:rFonts w:ascii="Times New Roman"/>
                <w:b w:val="false"/>
                <w:i w:val="false"/>
                <w:color w:val="000000"/>
                <w:sz w:val="20"/>
              </w:rPr>
              <w:t>№ 38/409-VI шешімімен бекітілді</w:t>
            </w:r>
          </w:p>
        </w:tc>
      </w:tr>
    </w:tbl>
    <w:bookmarkStart w:name="z6" w:id="4"/>
    <w:p>
      <w:pPr>
        <w:spacing w:after="0"/>
        <w:ind w:left="0"/>
        <w:jc w:val="left"/>
      </w:pPr>
      <w:r>
        <w:rPr>
          <w:rFonts w:ascii="Times New Roman"/>
          <w:b/>
          <w:i w:val="false"/>
          <w:color w:val="000000"/>
        </w:rPr>
        <w:t xml:space="preserve"> Түркістан облысының 2019-2023 жылдарға арналған қоршаған орта сапасының нысаналы көрсеткіштері</w:t>
      </w:r>
    </w:p>
    <w:bookmarkEnd w:id="4"/>
    <w:p>
      <w:pPr>
        <w:spacing w:after="0"/>
        <w:ind w:left="0"/>
        <w:jc w:val="both"/>
      </w:pPr>
      <w:r>
        <w:rPr>
          <w:rFonts w:ascii="Times New Roman"/>
          <w:b w:val="false"/>
          <w:i w:val="false"/>
          <w:color w:val="000000"/>
          <w:sz w:val="28"/>
        </w:rPr>
        <w:t>
      Кесте 1 - "Атмосфералық ауа" бөлімі бойынша қоршаған орта сапасының нысаналы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құрамында жүзгін заттардың ең жоғары деңгейі, шекті рұқсат етілген ең жоғарғы бір реттік концентрация үлесі (әрі қарай ШРК е.ж.б.)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құрамында көмірқышқыл газының (СО) ең жоғары деңгейі, ШРК е.ж.б.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ауа құрамында көмірқышқыл газының (СО) ең жоғары деңгейі, ШРК е.ж.б.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2 - "Топырақ" бөлімі бойынша қоршаған орта сапасының нысаналы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қаласындағы ойын және спорт алаңшалары аумағындағы топырақтың жоғары қабатындағы қорғасын мөлшерінің деңгейі,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1008-ге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1008-ге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800-ге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200-ден аз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3 - "Жер үсті суларының сапасы" бөлімі бойынша қоршаған орта сапасының нысаналы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су сынамаларындағы сульфат құрамының ШРК деңгейінің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4 - "Елді мекендерді көгалдандыру" бөлімі бойынша қоршаған орта сапасының нысаналы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айналасындағы жасыл белдеудің аумағы,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8000-ға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5 - "Коммуналдық қалдықтар" бөлімі бойынша қоршаған орта сапасының нысаналы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қалдықтарды жинау және тасымалдау қызметімен қамтамасыз етілуі,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тұрмыстық қатты қалдықтардың қайта өңдеу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6 - "Радиациялық жағдай" бөлімі бойынша қоршаған орта сапасының нысаналы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Ыбырай елді-мекеніндегі тұрғын үйлердің радон белсенділігінің деңгейі, (Бк/м3)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Тасты елді-мекеніндегі тұрғын үйлердің радон белсенділігінің деңгейі, (Бк/м3)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Оранғай, Ибата елді-мекендердегі тұрғын үйлердің радон белсенділігінің деңгейі, (радонның қауіпті аумақта 10 тұрғын үй бойынша орташа жылдық эквиваленттік тепе-теңдіктің белсенділік көлемі медиандық көрсеткіші (Бк/м3)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7 - "Түркістан және Кентау қалаларының қоныстану аумағындағы физикалық факторлары - шу және электромагниттік сәулелену" бөлімі бойынша қоршаған орта сапасының нысаналы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 көлік магистральдарының қиылыстарында шудың деңгейі (Б.Саттарханов көшесі Шәуілдір көшесінің қиылысы, С.Қожанов көшесі , Б.Саттарханов көшесінің қиылысы, С.Қожанов көшесі Н.Төреқұлов көшесінің қиылысы, Тынышқұлов көшесі Тәуелсіздікке 10 жыл көшесінің қиылысы, Тәуке-хан көшесі Абылайхан көшесінің қиылысы), дБА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құралдардың (радиотехникалық объектілерді қабылдау-өткізу) көзі орналасқан маңындағы ең жоғары жиілік диапозонында электромагниттік энергия ағыны тығыздығының мәні, мкВт/м2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 желісі (50 Гц) маңында өнеркәсіптік жиіліктің электромагнитті өрісін құрайтын электрлік және магниттік құрауыштардың кернеуі, кВ/м;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кВ/м</w:t>
            </w:r>
          </w:p>
          <w:p>
            <w:pPr>
              <w:spacing w:after="20"/>
              <w:ind w:left="20"/>
              <w:jc w:val="both"/>
            </w:pPr>
            <w:r>
              <w:rPr>
                <w:rFonts w:ascii="Times New Roman"/>
                <w:b w:val="false"/>
                <w:i w:val="false"/>
                <w:color w:val="000000"/>
                <w:sz w:val="20"/>
              </w:rPr>
              <w:t>1,74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кВ/м</w:t>
            </w:r>
          </w:p>
          <w:p>
            <w:pPr>
              <w:spacing w:after="20"/>
              <w:ind w:left="20"/>
              <w:jc w:val="both"/>
            </w:pPr>
            <w:r>
              <w:rPr>
                <w:rFonts w:ascii="Times New Roman"/>
                <w:b w:val="false"/>
                <w:i w:val="false"/>
                <w:color w:val="000000"/>
                <w:sz w:val="20"/>
              </w:rPr>
              <w:t>1,74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кВ/м</w:t>
            </w:r>
          </w:p>
          <w:p>
            <w:pPr>
              <w:spacing w:after="20"/>
              <w:ind w:left="20"/>
              <w:jc w:val="both"/>
            </w:pPr>
            <w:r>
              <w:rPr>
                <w:rFonts w:ascii="Times New Roman"/>
                <w:b w:val="false"/>
                <w:i w:val="false"/>
                <w:color w:val="000000"/>
                <w:sz w:val="20"/>
              </w:rPr>
              <w:t xml:space="preserve"> 0,32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кВ/м</w:t>
            </w:r>
          </w:p>
          <w:p>
            <w:pPr>
              <w:spacing w:after="20"/>
              <w:ind w:left="20"/>
              <w:jc w:val="both"/>
            </w:pPr>
            <w:r>
              <w:rPr>
                <w:rFonts w:ascii="Times New Roman"/>
                <w:b w:val="false"/>
                <w:i w:val="false"/>
                <w:color w:val="000000"/>
                <w:sz w:val="20"/>
              </w:rPr>
              <w:t xml:space="preserve"> 0,32 кА/м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 көліктік магистральдардың қиылыстарында шудың деңгейі (Яссауи даңғылы, Момышұлы көшесінің қиылысы, Қонаев даңғылы, Аблайхан көшесінің қиылысы.), дБА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құралдардың (радиотехникалық объектілерді қабылдау-өткізу) көзі орналасқан маңындағы ең жоғары жиілік диапозонында электромагниттік энергия ағыны тығыздығының мәні, мкВт/м2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 желісі (50 Гц) маңында өнеркәсіптік жиіліктің электромагнитті өрісін құрайтын электрлік және магниттік құрауыштардың кернеуі,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Бк/м3 – текше метрге берілген беккерель.</w:t>
      </w:r>
    </w:p>
    <w:p>
      <w:pPr>
        <w:spacing w:after="0"/>
        <w:ind w:left="0"/>
        <w:jc w:val="both"/>
      </w:pPr>
      <w:r>
        <w:rPr>
          <w:rFonts w:ascii="Times New Roman"/>
          <w:b w:val="false"/>
          <w:i w:val="false"/>
          <w:color w:val="000000"/>
          <w:sz w:val="28"/>
        </w:rPr>
        <w:t>
      дБА – А децибеллдері, шудың өлшем бірлігі. А – құрал шудың адамның құлағы сияқты қабылдайтындығын көрсететін таңба</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кА/м – метрге берілген кило ампер</w:t>
      </w:r>
    </w:p>
    <w:p>
      <w:pPr>
        <w:spacing w:after="0"/>
        <w:ind w:left="0"/>
        <w:jc w:val="both"/>
      </w:pPr>
      <w:r>
        <w:rPr>
          <w:rFonts w:ascii="Times New Roman"/>
          <w:b w:val="false"/>
          <w:i w:val="false"/>
          <w:color w:val="000000"/>
          <w:sz w:val="28"/>
        </w:rPr>
        <w:t>
      кВ/м - метрге берілген кило вольт</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мг/кг – килограмға берілген миллиграмм</w:t>
      </w:r>
    </w:p>
    <w:p>
      <w:pPr>
        <w:spacing w:after="0"/>
        <w:ind w:left="0"/>
        <w:jc w:val="both"/>
      </w:pPr>
      <w:r>
        <w:rPr>
          <w:rFonts w:ascii="Times New Roman"/>
          <w:b w:val="false"/>
          <w:i w:val="false"/>
          <w:color w:val="000000"/>
          <w:sz w:val="28"/>
        </w:rPr>
        <w:t xml:space="preserve">
      мкВт/м2 – шаршы метрге берілген микроватт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