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84d6" w14:textId="7918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2019 жылы көтерме жәрдемақы және тұрғын үй сатып алу немесе салу үшiн бюджеттiк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11 сәуірдегі № 262 шешiмi. Түркістан облысының Әдiлет департаментiнде 2019 жылғы 23 сәуірде № 4990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әкімінің 2019 жылғы 29 наурыздағы № 1-01-21/2724 мәлімдемесіне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Кентау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