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7a89" w14:textId="b047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тәрбие мен оқытуға мемлекеттiк бiлiм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2019 жылғы 28 қаңтардағы № 27 қаулысы. Түркістан облысының Әдiлет департаментiнде 2019 жылғы 29 қаңтарда № 4894 болып тiркелдi. Күші жойылды - Түркістан облысы Қазығұрт ауданы әкiмдiгiнiң 2020 жылғы 11 мамырдағы № 116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11.05.2020 № 116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"Білім туралы" Қазақстан Республикасының 2007 жылғы 27 шілдедегі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сәйкес, Қазығұрт ауданының әкімдігі 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қаулығы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Қазығұрт ауданы әкімдігінің 2017 жылғы 14 желтоқсандағы № 433 "Мектепке дейінгі тәрбие мен оқытуға мемлекеттік білім беру тапсырысын, ата-ананың ақы төлеу мөлшерін бекіту туралы" (Нормативтік құқықтық актілерді мемлекеттік тіркеу тізілімінде № 4344 тіркелген, 2018 жылғы 12 қаңтарда "Қазығұрт тынысы" газетінде және 2018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С.Тұрсынқұловқа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27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5652"/>
      </w:tblGrid>
      <w:tr>
        <w:trPr>
          <w:trHeight w:val="30" w:hRule="atLeast"/>
        </w:trPr>
        <w:tc>
          <w:tcPr>
            <w:tcW w:w="6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 (жергілікті бюджет есебінен)</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27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246"/>
        <w:gridCol w:w="6539"/>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631,18</w:t>
            </w:r>
          </w:p>
        </w:tc>
      </w:tr>
    </w:tbl>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