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740d" w14:textId="6287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2014 жылғы 31 наурыздағы № 30/14 "Ордабасы ауданы бойынша аз қамтамасыз етілген отбасыларға (азаматтарға) тұрғын үй көмегін көрсетудің мөлшері мен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Ордабасы аудандық мәслихатының 2019 жылғы 14 тамыздағы № 48/2 шешiмi. Түркістан облысының Әдiлет департаментiнде 2019 жылғы 19 тамызда № 5168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"Құқықтық актілер туралы"Қазақстан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2014 жылғы 31 наурыздағы № 30/14 "Ордабасы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2628 нөмірімен тіркелген және 2014 жылғы 24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