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9834" w14:textId="5099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Гагарино ауылы аумағындағы Жартас өзенінің су қорғау аймақтары мен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69 қаулысы. Шығыс Қазақстан облысының Әділет департаментінде 2019 жылғы 13 наурызда № 5765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Гагарино ауылы аумағындағы Жартас өзенінің су қорғау аймақтары мен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Гагарино ауылы аумағындағы Жартас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69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Гагарино ауылы аумағындағы Жартас өзенінің су қорғау аймақтары мен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1682"/>
        <w:gridCol w:w="2072"/>
        <w:gridCol w:w="1486"/>
        <w:gridCol w:w="1291"/>
        <w:gridCol w:w="1095"/>
        <w:gridCol w:w="1095"/>
      </w:tblGrid>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ауданындағы Гагарино ауылы аумағындағы тұстамасы шегінде Жартас өзені (оң жақ жағалау)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ауданындағы Гагарино ауылы аумағындағы тұстамасы шегінде Жартас өзені (сол жақ жағалау)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