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80a53" w14:textId="d480a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Алтай ауданындағы Капитанов Лог, Пьянкин Лог, № 1 атауы жоқ және № 2 атауы жоқ бұлақтарының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15 мамырдағы № 163 қаулысы. Шығыс Қазақстан облысының Әділет департаментінде 2019 жылғы 17 мамырда № 5952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Алтай ауданындағы мал жаю және шөп шабу үшін Е.Б. Қамажановқа берілетін жер учаскелері тұстамасында Капитанов Лог, Пьянкин Лог, № 1 атауы жоқ және № 2 атауы жоқ бұлақтарының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Алтай ауданындағы мал жаю және шөп шабу үшін Е.Б. Қамажановқа берілетін жер учаскелері тұстамасында Капитанов Лог, Пьянкин Лог, № 1 атауы жоқ және № 2 атауы жоқ бұлақтарының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Алтай ауданы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8"/>
    <w:bookmarkStart w:name="z15" w:id="9"/>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9"/>
    <w:bookmarkStart w:name="z16" w:id="10"/>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4. Осы қаулының орындалуын бақылау облыс әкімінің агроөнеркәсіп кешені мәселелері жөніндегі орынбасарына жүктелсін.</w:t>
      </w:r>
    </w:p>
    <w:bookmarkEnd w:id="11"/>
    <w:bookmarkStart w:name="z18" w:id="12"/>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9" w:id="13"/>
    <w:p>
      <w:pPr>
        <w:spacing w:after="0"/>
        <w:ind w:left="0"/>
        <w:jc w:val="both"/>
      </w:pPr>
      <w:r>
        <w:rPr>
          <w:rFonts w:ascii="Times New Roman"/>
          <w:b w:val="false"/>
          <w:i w:val="false"/>
          <w:color w:val="000000"/>
          <w:sz w:val="28"/>
        </w:rPr>
        <w:t>
      2019 жылғы "15" мамыр</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"15" мамырдағы </w:t>
            </w:r>
            <w:r>
              <w:br/>
            </w:r>
            <w:r>
              <w:rPr>
                <w:rFonts w:ascii="Times New Roman"/>
                <w:b w:val="false"/>
                <w:i w:val="false"/>
                <w:color w:val="000000"/>
                <w:sz w:val="20"/>
              </w:rPr>
              <w:t>№ 163 қаулысына қосымша</w:t>
            </w:r>
          </w:p>
        </w:tc>
      </w:tr>
    </w:tbl>
    <w:bookmarkStart w:name="z31" w:id="14"/>
    <w:p>
      <w:pPr>
        <w:spacing w:after="0"/>
        <w:ind w:left="0"/>
        <w:jc w:val="left"/>
      </w:pPr>
      <w:r>
        <w:rPr>
          <w:rFonts w:ascii="Times New Roman"/>
          <w:b/>
          <w:i w:val="false"/>
          <w:color w:val="000000"/>
        </w:rPr>
        <w:t xml:space="preserve"> Шығыс Қазақстан облысы Алтай ауданындағы мал жаю және шөп шабу үшін Е.Б. Қамажановқа берілетін жер учаскелері тұстамасында Капитанов Лог, Пьянкин Лог, № 1 атауы жоқ және № 2 атауы жоқ бұлақтарының су қорғау аймақтары мен су қорғау белдеулері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1898"/>
        <w:gridCol w:w="1898"/>
        <w:gridCol w:w="2673"/>
        <w:gridCol w:w="1899"/>
        <w:gridCol w:w="1542"/>
        <w:gridCol w:w="1004"/>
      </w:tblGrid>
      <w:tr>
        <w:trPr>
          <w:trHeight w:val="30" w:hRule="atLeast"/>
        </w:trPr>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Капитанов Лог бұлағы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380-500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сол жағалау оң жағалау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5"/>
          <w:p>
            <w:pPr>
              <w:spacing w:after="20"/>
              <w:ind w:left="20"/>
              <w:jc w:val="both"/>
            </w:pPr>
            <w:r>
              <w:rPr>
                <w:rFonts w:ascii="Times New Roman"/>
                <w:b w:val="false"/>
                <w:i w:val="false"/>
                <w:color w:val="000000"/>
                <w:sz w:val="20"/>
              </w:rPr>
              <w:t>
4,0</w:t>
            </w:r>
            <w:r>
              <w:br/>
            </w:r>
            <w:r>
              <w:rPr>
                <w:rFonts w:ascii="Times New Roman"/>
                <w:b w:val="false"/>
                <w:i w:val="false"/>
                <w:color w:val="000000"/>
                <w:sz w:val="20"/>
              </w:rPr>
              <w:t>
4,0</w:t>
            </w:r>
          </w:p>
          <w:bookmarkEnd w:id="15"/>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6"/>
          <w:p>
            <w:pPr>
              <w:spacing w:after="20"/>
              <w:ind w:left="20"/>
              <w:jc w:val="both"/>
            </w:pPr>
            <w:r>
              <w:rPr>
                <w:rFonts w:ascii="Times New Roman"/>
                <w:b w:val="false"/>
                <w:i w:val="false"/>
                <w:color w:val="000000"/>
                <w:sz w:val="20"/>
              </w:rPr>
              <w:t>
20,0</w:t>
            </w:r>
            <w:r>
              <w:br/>
            </w:r>
            <w:r>
              <w:rPr>
                <w:rFonts w:ascii="Times New Roman"/>
                <w:b w:val="false"/>
                <w:i w:val="false"/>
                <w:color w:val="000000"/>
                <w:sz w:val="20"/>
              </w:rPr>
              <w:t>
152,8</w:t>
            </w:r>
          </w:p>
          <w:bookmarkEnd w:id="16"/>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7"/>
          <w:p>
            <w:pPr>
              <w:spacing w:after="20"/>
              <w:ind w:left="20"/>
              <w:jc w:val="both"/>
            </w:pPr>
            <w:r>
              <w:rPr>
                <w:rFonts w:ascii="Times New Roman"/>
                <w:b w:val="false"/>
                <w:i w:val="false"/>
                <w:color w:val="000000"/>
                <w:sz w:val="20"/>
              </w:rPr>
              <w:t>
4,0</w:t>
            </w:r>
            <w:r>
              <w:br/>
            </w:r>
            <w:r>
              <w:rPr>
                <w:rFonts w:ascii="Times New Roman"/>
                <w:b w:val="false"/>
                <w:i w:val="false"/>
                <w:color w:val="000000"/>
                <w:sz w:val="20"/>
              </w:rPr>
              <w:t>
1,216</w:t>
            </w:r>
          </w:p>
          <w:bookmarkEnd w:id="17"/>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8"/>
          <w:p>
            <w:pPr>
              <w:spacing w:after="20"/>
              <w:ind w:left="20"/>
              <w:jc w:val="both"/>
            </w:pPr>
            <w:r>
              <w:rPr>
                <w:rFonts w:ascii="Times New Roman"/>
                <w:b w:val="false"/>
                <w:i w:val="false"/>
                <w:color w:val="000000"/>
                <w:sz w:val="20"/>
              </w:rPr>
              <w:t>
20,1</w:t>
            </w:r>
            <w:r>
              <w:br/>
            </w:r>
            <w:r>
              <w:rPr>
                <w:rFonts w:ascii="Times New Roman"/>
                <w:b w:val="false"/>
                <w:i w:val="false"/>
                <w:color w:val="000000"/>
                <w:sz w:val="20"/>
              </w:rPr>
              <w:t>
23,2</w:t>
            </w:r>
          </w:p>
          <w:bookmarkEnd w:id="18"/>
        </w:tc>
        <w:tc>
          <w:tcPr>
            <w:tcW w:w="0" w:type="auto"/>
            <w:vMerge/>
            <w:tcBorders>
              <w:top w:val="nil"/>
              <w:left w:val="single" w:color="cfcfcf" w:sz="5"/>
              <w:bottom w:val="single" w:color="cfcfcf" w:sz="5"/>
              <w:right w:val="single" w:color="cfcfcf" w:sz="5"/>
            </w:tcBorders>
          </w:tcP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Пьянкин Лог бұлағы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380-500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сол жағалау оң жағалау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9"/>
          <w:p>
            <w:pPr>
              <w:spacing w:after="20"/>
              <w:ind w:left="20"/>
              <w:jc w:val="both"/>
            </w:pPr>
            <w:r>
              <w:rPr>
                <w:rFonts w:ascii="Times New Roman"/>
                <w:b w:val="false"/>
                <w:i w:val="false"/>
                <w:color w:val="000000"/>
                <w:sz w:val="20"/>
              </w:rPr>
              <w:t>
1,216</w:t>
            </w:r>
            <w:r>
              <w:br/>
            </w:r>
            <w:r>
              <w:rPr>
                <w:rFonts w:ascii="Times New Roman"/>
                <w:b w:val="false"/>
                <w:i w:val="false"/>
                <w:color w:val="000000"/>
                <w:sz w:val="20"/>
              </w:rPr>
              <w:t>
1,216</w:t>
            </w:r>
          </w:p>
          <w:bookmarkEnd w:id="19"/>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0"/>
          <w:p>
            <w:pPr>
              <w:spacing w:after="20"/>
              <w:ind w:left="20"/>
              <w:jc w:val="both"/>
            </w:pPr>
            <w:r>
              <w:rPr>
                <w:rFonts w:ascii="Times New Roman"/>
                <w:b w:val="false"/>
                <w:i w:val="false"/>
                <w:color w:val="000000"/>
                <w:sz w:val="20"/>
              </w:rPr>
              <w:t>
46,2</w:t>
            </w:r>
            <w:r>
              <w:br/>
            </w:r>
            <w:r>
              <w:rPr>
                <w:rFonts w:ascii="Times New Roman"/>
                <w:b w:val="false"/>
                <w:i w:val="false"/>
                <w:color w:val="000000"/>
                <w:sz w:val="20"/>
              </w:rPr>
              <w:t>
16,3</w:t>
            </w:r>
          </w:p>
          <w:bookmarkEnd w:id="20"/>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1,8</w:t>
            </w:r>
            <w:r>
              <w:br/>
            </w:r>
            <w:r>
              <w:rPr>
                <w:rFonts w:ascii="Times New Roman"/>
                <w:b w:val="false"/>
                <w:i w:val="false"/>
                <w:color w:val="000000"/>
                <w:sz w:val="20"/>
              </w:rPr>
              <w:t>
1,8</w:t>
            </w:r>
          </w:p>
          <w:bookmarkEnd w:id="21"/>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5,5</w:t>
            </w:r>
            <w:r>
              <w:br/>
            </w:r>
            <w:r>
              <w:rPr>
                <w:rFonts w:ascii="Times New Roman"/>
                <w:b w:val="false"/>
                <w:i w:val="false"/>
                <w:color w:val="000000"/>
                <w:sz w:val="20"/>
              </w:rPr>
              <w:t>
5,0</w:t>
            </w:r>
          </w:p>
          <w:bookmarkEnd w:id="22"/>
        </w:tc>
        <w:tc>
          <w:tcPr>
            <w:tcW w:w="0" w:type="auto"/>
            <w:vMerge/>
            <w:tcBorders>
              <w:top w:val="nil"/>
              <w:left w:val="single" w:color="cfcfcf" w:sz="5"/>
              <w:bottom w:val="single" w:color="cfcfcf" w:sz="5"/>
              <w:right w:val="single" w:color="cfcfcf" w:sz="5"/>
            </w:tcBorders>
          </w:tcP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бұлағы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380-500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сол жағалау оң жағалау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3"/>
          <w:p>
            <w:pPr>
              <w:spacing w:after="20"/>
              <w:ind w:left="20"/>
              <w:jc w:val="both"/>
            </w:pPr>
            <w:r>
              <w:rPr>
                <w:rFonts w:ascii="Times New Roman"/>
                <w:b w:val="false"/>
                <w:i w:val="false"/>
                <w:color w:val="000000"/>
                <w:sz w:val="20"/>
              </w:rPr>
              <w:t>
1,8</w:t>
            </w:r>
            <w:r>
              <w:br/>
            </w:r>
            <w:r>
              <w:rPr>
                <w:rFonts w:ascii="Times New Roman"/>
                <w:b w:val="false"/>
                <w:i w:val="false"/>
                <w:color w:val="000000"/>
                <w:sz w:val="20"/>
              </w:rPr>
              <w:t>
1,8</w:t>
            </w:r>
          </w:p>
          <w:bookmarkEnd w:id="23"/>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4"/>
          <w:p>
            <w:pPr>
              <w:spacing w:after="20"/>
              <w:ind w:left="20"/>
              <w:jc w:val="both"/>
            </w:pPr>
            <w:r>
              <w:rPr>
                <w:rFonts w:ascii="Times New Roman"/>
                <w:b w:val="false"/>
                <w:i w:val="false"/>
                <w:color w:val="000000"/>
                <w:sz w:val="20"/>
              </w:rPr>
              <w:t>
97,2</w:t>
            </w:r>
            <w:r>
              <w:br/>
            </w:r>
            <w:r>
              <w:rPr>
                <w:rFonts w:ascii="Times New Roman"/>
                <w:b w:val="false"/>
                <w:i w:val="false"/>
                <w:color w:val="000000"/>
                <w:sz w:val="20"/>
              </w:rPr>
              <w:t>
45,0</w:t>
            </w:r>
          </w:p>
          <w:bookmarkEnd w:id="24"/>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5"/>
          <w:p>
            <w:pPr>
              <w:spacing w:after="20"/>
              <w:ind w:left="20"/>
              <w:jc w:val="both"/>
            </w:pPr>
            <w:r>
              <w:rPr>
                <w:rFonts w:ascii="Times New Roman"/>
                <w:b w:val="false"/>
                <w:i w:val="false"/>
                <w:color w:val="000000"/>
                <w:sz w:val="20"/>
              </w:rPr>
              <w:t>
0,77</w:t>
            </w:r>
            <w:r>
              <w:br/>
            </w:r>
            <w:r>
              <w:rPr>
                <w:rFonts w:ascii="Times New Roman"/>
                <w:b w:val="false"/>
                <w:i w:val="false"/>
                <w:color w:val="000000"/>
                <w:sz w:val="20"/>
              </w:rPr>
              <w:t>
0,77</w:t>
            </w:r>
          </w:p>
          <w:bookmarkEnd w:id="25"/>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6"/>
          <w:p>
            <w:pPr>
              <w:spacing w:after="20"/>
              <w:ind w:left="20"/>
              <w:jc w:val="both"/>
            </w:pPr>
            <w:r>
              <w:rPr>
                <w:rFonts w:ascii="Times New Roman"/>
                <w:b w:val="false"/>
                <w:i w:val="false"/>
                <w:color w:val="000000"/>
                <w:sz w:val="20"/>
              </w:rPr>
              <w:t>
9,8</w:t>
            </w:r>
            <w:r>
              <w:br/>
            </w:r>
            <w:r>
              <w:rPr>
                <w:rFonts w:ascii="Times New Roman"/>
                <w:b w:val="false"/>
                <w:i w:val="false"/>
                <w:color w:val="000000"/>
                <w:sz w:val="20"/>
              </w:rPr>
              <w:t>
9,6</w:t>
            </w:r>
          </w:p>
          <w:bookmarkEnd w:id="26"/>
        </w:tc>
        <w:tc>
          <w:tcPr>
            <w:tcW w:w="0" w:type="auto"/>
            <w:vMerge/>
            <w:tcBorders>
              <w:top w:val="nil"/>
              <w:left w:val="single" w:color="cfcfcf" w:sz="5"/>
              <w:bottom w:val="single" w:color="cfcfcf" w:sz="5"/>
              <w:right w:val="single" w:color="cfcfcf" w:sz="5"/>
            </w:tcBorders>
          </w:tcP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бұлағы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380-500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сол жағалау оң жағалау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7"/>
          <w:p>
            <w:pPr>
              <w:spacing w:after="20"/>
              <w:ind w:left="20"/>
              <w:jc w:val="both"/>
            </w:pPr>
            <w:r>
              <w:rPr>
                <w:rFonts w:ascii="Times New Roman"/>
                <w:b w:val="false"/>
                <w:i w:val="false"/>
                <w:color w:val="000000"/>
                <w:sz w:val="20"/>
              </w:rPr>
              <w:t>
0,77</w:t>
            </w:r>
            <w:r>
              <w:br/>
            </w:r>
            <w:r>
              <w:rPr>
                <w:rFonts w:ascii="Times New Roman"/>
                <w:b w:val="false"/>
                <w:i w:val="false"/>
                <w:color w:val="000000"/>
                <w:sz w:val="20"/>
              </w:rPr>
              <w:t>
0,77</w:t>
            </w:r>
          </w:p>
          <w:bookmarkEnd w:id="27"/>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8"/>
          <w:p>
            <w:pPr>
              <w:spacing w:after="20"/>
              <w:ind w:left="20"/>
              <w:jc w:val="both"/>
            </w:pPr>
            <w:r>
              <w:rPr>
                <w:rFonts w:ascii="Times New Roman"/>
                <w:b w:val="false"/>
                <w:i w:val="false"/>
                <w:color w:val="000000"/>
                <w:sz w:val="20"/>
              </w:rPr>
              <w:t>
44,0</w:t>
            </w:r>
            <w:r>
              <w:br/>
            </w:r>
            <w:r>
              <w:rPr>
                <w:rFonts w:ascii="Times New Roman"/>
                <w:b w:val="false"/>
                <w:i w:val="false"/>
                <w:color w:val="000000"/>
                <w:sz w:val="20"/>
              </w:rPr>
              <w:t>
55,5</w:t>
            </w:r>
          </w:p>
          <w:bookmarkEnd w:id="28"/>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9"/>
          <w:p>
            <w:pPr>
              <w:spacing w:after="20"/>
              <w:ind w:left="20"/>
              <w:jc w:val="both"/>
            </w:pPr>
            <w:r>
              <w:rPr>
                <w:rFonts w:ascii="Times New Roman"/>
                <w:b w:val="false"/>
                <w:i w:val="false"/>
                <w:color w:val="000000"/>
                <w:sz w:val="20"/>
              </w:rPr>
              <w:t>
0,77</w:t>
            </w:r>
            <w:r>
              <w:br/>
            </w:r>
            <w:r>
              <w:rPr>
                <w:rFonts w:ascii="Times New Roman"/>
                <w:b w:val="false"/>
                <w:i w:val="false"/>
                <w:color w:val="000000"/>
                <w:sz w:val="20"/>
              </w:rPr>
              <w:t>
0,77</w:t>
            </w:r>
          </w:p>
          <w:bookmarkEnd w:id="29"/>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0"/>
          <w:p>
            <w:pPr>
              <w:spacing w:after="20"/>
              <w:ind w:left="20"/>
              <w:jc w:val="both"/>
            </w:pPr>
            <w:r>
              <w:rPr>
                <w:rFonts w:ascii="Times New Roman"/>
                <w:b w:val="false"/>
                <w:i w:val="false"/>
                <w:color w:val="000000"/>
                <w:sz w:val="20"/>
              </w:rPr>
              <w:t>
4,1</w:t>
            </w:r>
            <w:r>
              <w:br/>
            </w:r>
            <w:r>
              <w:rPr>
                <w:rFonts w:ascii="Times New Roman"/>
                <w:b w:val="false"/>
                <w:i w:val="false"/>
                <w:color w:val="000000"/>
                <w:sz w:val="20"/>
              </w:rPr>
              <w:t>
4,2</w:t>
            </w:r>
          </w:p>
          <w:bookmarkEnd w:id="30"/>
        </w:tc>
        <w:tc>
          <w:tcPr>
            <w:tcW w:w="0" w:type="auto"/>
            <w:vMerge/>
            <w:tcBorders>
              <w:top w:val="nil"/>
              <w:left w:val="single" w:color="cfcfcf" w:sz="5"/>
              <w:bottom w:val="single" w:color="cfcfcf" w:sz="5"/>
              <w:right w:val="single" w:color="cfcfcf" w:sz="5"/>
            </w:tcBorders>
          </w:tcPr>
          <w:p/>
        </w:tc>
      </w:tr>
    </w:tbl>
    <w:bookmarkStart w:name="z48" w:id="31"/>
    <w:p>
      <w:pPr>
        <w:spacing w:after="0"/>
        <w:ind w:left="0"/>
        <w:jc w:val="both"/>
      </w:pPr>
      <w:r>
        <w:rPr>
          <w:rFonts w:ascii="Times New Roman"/>
          <w:b w:val="false"/>
          <w:i w:val="false"/>
          <w:color w:val="000000"/>
          <w:sz w:val="28"/>
        </w:rPr>
        <w:t>
      Ескертпе:</w:t>
      </w:r>
    </w:p>
    <w:bookmarkEnd w:id="31"/>
    <w:bookmarkStart w:name="z49" w:id="32"/>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