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79c2" w14:textId="f26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32-6-VI "2019-2021 жылдарға арналған Бородулиха ауданының Переменовка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37-6-VI шешімі. Шығыс Қазақстан облысының Әділет департаментінде 2019 жылғы 11 сәуірде № 5845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Қазақстан Республикасының 2016 жылғы 6сәуірдегі "Құқықтық актілер туралы" Заңының 50–бабының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Бородулиха аудандық мәслихатының 2019 жылғы 19 наурыздағы № 36-6-VI "2019-2021 жылдарға арналған аудандық бюджет туралы" Бородулиха аудандық мәслихатының 2018 жылғы 21 желтоқсандағы № 31-2-VI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32-6-VI "2019-2021 жылдарға арналған Бородулиха ауданының Переменовка ауылдық округінің бюджеті туралы" (нормативтік құқықтық актілерді мемлекеттік тіркеу Тізілімінде 5-8-197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31455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31486,8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теңге,соның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Переменовка ауылдық округінің бюджетінде облыстық бюджеттен ағымдағы нысаналы трансферттер 10000 мың теңге сомасында ескерілсін.";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5-тармақпен толықтырылсын: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Переменовка ауылдық округінің бюджетінде аудандық бюджеттен ағымдағы нысаналы трансферттер 375 мың теңге сомасында ескерілсін.";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Переменовка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