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fc1d" w14:textId="4cbf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2018 жылғы 28 желтоқсандағы № 32-7-VI "2019-2021 жылдарға арналған Бородулиха ауданының Жезкент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2019 жылғы 9 сәуірдегі № 37-7-VI шешімі. Шығыс Қазақстан облысының Әділет департаментінде 2019 жылғы 11 сәуірде № 5846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104–бабының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сәйкес, Бородулиха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2018 жылғы 28 желтоқсандағы № 32-7-VI "2019-2021 жылдарға арналған Бородулиха ауданының Жезкент кенттік округінің бюджеті туралы" (нормативтік құқықтық актілерді мемлекеттік тіркеу Тізілімінде 5-8-195 нөмірімен тіркелген, Қазақстан Республикасы нормативтік құқықтық актілерінің электрондық түрдегі Эталондық бақылау банкінде 2019 жылғы 22 қаңтарда, "Пульс района", "Аудан тынысы" аудандық газеттерінде 2019 жылғы 25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182053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141314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182346,4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-293,4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293,4 мың теңге,соның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293,4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 шешіміне 1-қосымша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Жезкент кенттік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түсетiнкiрiстер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182346,4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