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f094" w14:textId="394f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ңың 2018 жылғы 28 желтоқсандағы № 32-7-VI "2019-2021 жылдарға арналған Бородулиха ауданының Жезкент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23 желтоқсандағы № 44-9-VI шешімі. Шығыс Қазақстан облысының Әділет департаментінде 2019 жылғы 26 желтоқсанда № 645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7-VI "2019-2021 жылдарға арналған Бородулиха ауданының Жезкент кенттік округінің бюджеті туралы" (Нормативтік құқықтық актілерді мемлекеттік тіркеу тізілімінде 5-8-195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509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8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9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802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,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,4 мың теңге, с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,4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Жезкент кенттік округінің бюджетінде республикалық бюджеттен ағымдағы нысаналы трансферттер 27926 мың теңге сомасында ескерілсін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кент кенттік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