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99d7" w14:textId="f259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2018 жылғы 28 желтоқсандағы № 32-2-VI "2019-2021 жылдарға арналған Бородулиха ауданының Белағаш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23 желтоқсандағы № 44-4-VI шешімі. Шығыс Қазақстан облысының Әділет департаментінде 2019 жылғы 26 желтоқсанда № 6451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ШЕШІМ ҚАБЫЛДАДЫ: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32-2-VI "2019-2021 жылдарға арналған Бородулиха ауданының Белағаш ауылдық округінің бюджеті туралы" (Нормативтік құқықтық актілерді мемлекеттік тіркеу тізілімінде 5-8-193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33204 мың теңге, соның ішінде: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8573 мың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24631 мың теңге;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34206,3 мың теңге;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-1002,3 мың теңге;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1002,3 мың теңге, соның ішінде: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1002,3 мың теңге.";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Белағаш ауылдық округінің бюджетінде республикалық бюджеттен ағымдағы нысаналы трансферттер 1499 мың теңге сомасында ескерілсін.";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Белағаш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