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6135c" w14:textId="e7613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жануарлар түрлерін есепке алуды жүргізу жөніндегі нұсқаулықты бекіту туралы" Қазақстан Республикасы Ауыл шаруашылығы министрінің 2012 жылғы 1 наурыздағы № 25-03-01/82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2020 жылғы 4 ақпандағы № 33 бұйрығы. Қазақстан Республикасының Әділет министрлігінде 2020 жылғы 10 ақпанда № 19999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аумағында жануарлар түрлерін есепке алуды жүргізу жөніндегі нұсқаулықты бекіту туралы" Қазақстан Республикасы Ауыл шаруашылығы министрінің 2012 жылғы 1 наурыздағы № 25-03-01/82 (Қазақстан Республикасы Әділет министрлігінде 2012 жылғы 28 наурызда № 7492 тіркелген, "Егемен Қазақстан" газетінің 2012 жылғы 26 мамырда № 269-273 (27347)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 жануарлар түрлерін есепке алуды жүргізу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 Жануарлар түрлерінің есебін жүргізуді аңшылық шаруашылығы субъектілері (бұдан әрі – жануарлар дүниесін пайдаланушылар), жануарлар дүниесі объектілерінің мекендеу ортасы болып табылатын аумақтар мен акваториялар бекітілген Аумақтық бөлімшелер, ерекше қорғалатын табиғи аумақтар мен мемлекеттік мекемелер жүзеге асырады.</w:t>
      </w:r>
    </w:p>
    <w:bookmarkEnd w:id="4"/>
    <w:p>
      <w:pPr>
        <w:spacing w:after="0"/>
        <w:ind w:left="0"/>
        <w:jc w:val="both"/>
      </w:pPr>
      <w:r>
        <w:rPr>
          <w:rFonts w:ascii="Times New Roman"/>
          <w:b w:val="false"/>
          <w:i w:val="false"/>
          <w:color w:val="000000"/>
          <w:sz w:val="28"/>
        </w:rPr>
        <w:t>
      Аңшылардың және аңшылық шаруашылығы субъектілерінің қоғамдық бірлестіктерінің республикалық қауымдастығы бекітіп берілген аңшылық алқаптарында аң аулау объектілері болып табылатын жануарлар түрлерінің санын есепке алуды жүргізуге қатысуды, аңшылық шаруашылығының субъектілері ұсынған деректерді талдау мен жалпылауды және жануарлар дүниесі объектілерін алып қою лимитін дайындау үшін уәкілетті орган ведомствосының аумақтық бөлімшелеріне ұсынымдар енгізуді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9" w:id="5"/>
    <w:p>
      <w:pPr>
        <w:spacing w:after="0"/>
        <w:ind w:left="0"/>
        <w:jc w:val="both"/>
      </w:pPr>
      <w:r>
        <w:rPr>
          <w:rFonts w:ascii="Times New Roman"/>
          <w:b w:val="false"/>
          <w:i w:val="false"/>
          <w:color w:val="000000"/>
          <w:sz w:val="28"/>
        </w:rPr>
        <w:t>
      "2-тарау. Жануарлар түрлерін есепке алуды жүргізу";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1" w:id="6"/>
    <w:p>
      <w:pPr>
        <w:spacing w:after="0"/>
        <w:ind w:left="0"/>
        <w:jc w:val="both"/>
      </w:pPr>
      <w:r>
        <w:rPr>
          <w:rFonts w:ascii="Times New Roman"/>
          <w:b w:val="false"/>
          <w:i w:val="false"/>
          <w:color w:val="000000"/>
          <w:sz w:val="28"/>
        </w:rPr>
        <w:t>
      "3-тарау. Қорытынды ережелер";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"16. Жануарлар дүниесін пайдаланушы аумақтық бөлімшеге аң аулау объектілері болып табылатын жануарлар түрлерінің санын есепке алудың дұрыс емес деректерін ұсынған кезде, жануарлар дүниесі объектілерін аулауға квота берілмейді.".</w:t>
      </w:r>
    </w:p>
    <w:bookmarkEnd w:id="7"/>
    <w:bookmarkStart w:name="z14" w:id="8"/>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8"/>
    <w:bookmarkStart w:name="z15"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6" w:id="10"/>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10"/>
    <w:bookmarkStart w:name="z17" w:id="11"/>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11"/>
    <w:bookmarkStart w:name="z18"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12"/>
    <w:bookmarkStart w:name="z19"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Экология, геология және табиғи ресурстар </w:t>
            </w:r>
            <w:r>
              <w:br/>
            </w: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