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e897" w14:textId="a2ce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ілеспе жүкқұжаттарды жөніндегі міндет қолданылатын тауарлар тізбесін, сондай-ақ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13 сәуірдегі № 379 бұйрығы. Қазақстан Республикасының Әділет министрлігінде 2020 жылғы 14 сәуірде № 20386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"Тауарларға арналған ілеспе жүкқұжаттарды жөніндегі міндет қолданылатын тауарлар тізбесін, сондай-ақ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19784 болып тіркелген, 2019 жылғы 31 желтоқсанда Қазақстан Республикасы Нормативтік құқықтық актілердің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Тауарларға арналған ілеспе жүкқұжаттарды ресімдеу жөніндегі міндет қолданылатын тауарлар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13 сәуірі № 379</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Тауарларға арналған ілеспе жүкқұжаттарды ресімдеу жөніндегі міндет қолданылатын тауарлар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0047"/>
        <w:gridCol w:w="1713"/>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жүкқұжаттарды ресімдеудің басталған күні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биоотын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"Этил спирті мен (немесе)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этил спирті мен алкоголь өнімі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шілде</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мұнай өнiмдерiнiң жекелеген түрлерi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шілде</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темекі өнімдері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шілде</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тауар номенклатурасының (бұдан әрі - ЕАЭО СЭҚ ТН) коды және атауы Дүниежүзілік сауда ұйымына қосылу шарты ретінде қабылданған міндеттемелерге сәйкес Қазақстан Республикасы оларға қатысты тауарлардың тізбесіне еңгізілген тауарлар Қазақстан Республикасы қатысушысы болып табылатын халықаралық шартқа сәйкес бекітілген Еуразиялық экономикалық одағының Бірыңғай кедендік тарифінің баж мөлшерлемелерімен салыстырғанда неғұрлым төмен кедендік әкелу баждарының мөлшерлемелері қолданылады (осы тізбесінің 9-тармағында көрсетілгеннен басқа)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қаңтар</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Қазақстан Республикасының аумағына әкелінетін тауарлар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шілде</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Еуразиялық экономикалық одаққа мүше мемлекеттер аумағына әкетілетін тауарлар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шілде</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және Қазақстан Республикасының заңнамасына сәйкес таңбалауға жататын тауарлар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қаңтар</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тауар номенклатурасының (бұдан әрі - ЕАЭО СЭҚ ТН) коды және атауы Дүниежүзілік сауда ұйымына қосылу шарты ретінде қабылданған міндеттемелерге сәйкес Қазақстан Республикасы оларға қатысты тауарлардың тізбесіне еңгізілген тауарлар Қазақстан Республикасы қатысушысы болып табылатын халықаралық шартқа сәйкес бекітілген Еуразиялық экономикалық одағының Бірыңғай кедендік тарифінің баж мөлшерлемелерімен салыстырғанда неғұрлым төмен кедендік әкелу баждарының мөлшерлемелері қолданылады, және мұндай тауарларға электрондық шот-фактуралар электрондық шот-фактуралар ақпараттық жүйесінің "Виртуалды қоймасы" модулі арқылы жазып беріледі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шілде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