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bf64" w14:textId="e1fb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сәуірдегі № 395 бұйрығы. Қазақстан Республикасының Әділет министрлігінде 2020 жылғы 21 сәуірде № 20437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Шоттар жоспары";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Шоттар жоспарының бөлімдері";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1 "Қысқа мерзімді активтер" бөлімінің шоттары";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w:t>
      </w:r>
    </w:p>
    <w:bookmarkStart w:name="z13" w:id="7"/>
    <w:p>
      <w:pPr>
        <w:spacing w:after="0"/>
        <w:ind w:left="0"/>
        <w:jc w:val="both"/>
      </w:pPr>
      <w:r>
        <w:rPr>
          <w:rFonts w:ascii="Times New Roman"/>
          <w:b w:val="false"/>
          <w:i w:val="false"/>
          <w:color w:val="000000"/>
          <w:sz w:val="28"/>
        </w:rPr>
        <w:t>
      жиырма төртінші абзацы мынадай редакцияда жазылсын:</w:t>
      </w:r>
    </w:p>
    <w:bookmarkEnd w:id="7"/>
    <w:bookmarkStart w:name="z14" w:id="8"/>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bookmarkEnd w:id="8"/>
    <w:bookmarkStart w:name="z15" w:id="9"/>
    <w:p>
      <w:pPr>
        <w:spacing w:after="0"/>
        <w:ind w:left="0"/>
        <w:jc w:val="both"/>
      </w:pPr>
      <w:r>
        <w:rPr>
          <w:rFonts w:ascii="Times New Roman"/>
          <w:b w:val="false"/>
          <w:i w:val="false"/>
          <w:color w:val="000000"/>
          <w:sz w:val="28"/>
        </w:rPr>
        <w:t>
      жиырма алтыншы абзацы 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"Халық денсаулығы және денсаулық сақтау жүйесі туралы" 2009 жылғы 18 қыркүйектегі Қазақстан Республикасы Кодексінің 21-бабы </w:t>
      </w:r>
      <w:r>
        <w:rPr>
          <w:rFonts w:ascii="Times New Roman"/>
          <w:b w:val="false"/>
          <w:i w:val="false"/>
          <w:color w:val="000000"/>
          <w:sz w:val="28"/>
        </w:rPr>
        <w:t>12-тармағының</w:t>
      </w:r>
      <w:r>
        <w:rPr>
          <w:rFonts w:ascii="Times New Roman"/>
          <w:b w:val="false"/>
          <w:i w:val="false"/>
          <w:color w:val="000000"/>
          <w:sz w:val="28"/>
        </w:rPr>
        <w:t xml:space="preserve"> 20-тармақшасына және "Дене шынықтыру және спорт туралы" 2014 жылғы 3 шілдедегі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3-тармақшасына сәйкес іссапар шығыстарын берумен байланысты операциялар есепке алынады;";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"5-тарау. 2 "Ұзақ мерзімді активтер" бөлімінің шоттары";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"6-тарау. 3 "Қысқа мерзімді міндеттемелер" бөлімінің шоттары";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"7-тарау. 4 "Ұзақ мерзімді міндеттемелер" бөлімінің шоттары";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"8-тарау. 5 "Таза активтер/капитал" бөлімінің шоттары";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"9-тарау. 6 "Кірістер" бөлімінің шоттары";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"10-тарау. 7 "Шығыстар" бөлімінің шоттары";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"11-тарау. 8 "Өндіріске және басқа мақсаттарға арналған шығындар" бөлімінің шоттары";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"12-тарау. 9 "Баланстан тыс шоттар" бөлімінің шоттары";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19"/>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келісім-шарт бойынша бөгде ұйымнан ағымдағы жалға беру-алу үшін келісім-шартта көрсетілген құн бойынша қабылданған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both"/>
      </w:pPr>
      <w:r>
        <w:rPr>
          <w:rFonts w:ascii="Times New Roman"/>
          <w:b w:val="false"/>
          <w:i w:val="false"/>
          <w:color w:val="000000"/>
          <w:sz w:val="28"/>
        </w:rPr>
        <w:t xml:space="preserve">
      10 – "Мемлекет меншігіне айналдырылған (түскен) мүлік" шоты. Бұл шотта "Мемлекеттік мүлік туралы" 2011 жылғы 1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2-тармағымен көзделген жекелеген негіздер бойынша мемлекеттік мүлік құрамына айналдырылған (түскен) мүлік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6" w:id="20"/>
    <w:p>
      <w:pPr>
        <w:spacing w:after="0"/>
        <w:ind w:left="0"/>
        <w:jc w:val="both"/>
      </w:pPr>
      <w:r>
        <w:rPr>
          <w:rFonts w:ascii="Times New Roman"/>
          <w:b w:val="false"/>
          <w:i w:val="false"/>
          <w:color w:val="000000"/>
          <w:sz w:val="28"/>
        </w:rPr>
        <w:t>
      "13-тарау. "Қорытынды ережелер"".</w:t>
      </w:r>
    </w:p>
    <w:bookmarkEnd w:id="20"/>
    <w:bookmarkStart w:name="z37" w:id="2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1"/>
    <w:bookmarkStart w:name="z38"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9"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40"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4"/>
    <w:bookmarkStart w:name="z41"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