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bc9c4" w14:textId="93bc9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мемлекеттік білім беру тапсырысын орналастыру қағидаларын бекіту туралы" Қазақтан Республикасы Білім және ғылым министрінің 2016 жылғы 29 қаңтардағы № 122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6 мамырдағы № 186 бұйрығы. Қазақстан Республикасының Әділет министрлігінде 2020 жылғы 7 мамырда № 20597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мемлекеттік білім беру тапсырысын орналастыру қағидаларын бекіту туралы" Қазақтан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мемлекеттік білім беру тапсырысын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"25.Конкурс өткiзу үшiн құрамы Министрдiң немесе оның міндетін атқарушы тұлғаның бұйрығымен бекiтiлетін жоғары және (немесе) жоғары оқу орнынан кейінгі білім беру ұйымдарында кадрларды даярлауға арналған мемлекеттік білім беру тапсырысын орналастыру жөніндегі комиссия (бұдан әрі - Комиссия) құрылады.</w:t>
      </w:r>
    </w:p>
    <w:bookmarkEnd w:id="3"/>
    <w:bookmarkStart w:name="z6" w:id="4"/>
    <w:p>
      <w:pPr>
        <w:spacing w:after="0"/>
        <w:ind w:left="0"/>
        <w:jc w:val="both"/>
      </w:pPr>
      <w:r>
        <w:rPr>
          <w:rFonts w:ascii="Times New Roman"/>
          <w:b w:val="false"/>
          <w:i w:val="false"/>
          <w:color w:val="000000"/>
          <w:sz w:val="28"/>
        </w:rPr>
        <w:t>
      Комиссия білім беру саласындағы уәкілетті органның, басқа да мүдделі мемлекеттік органдар мен ведомстволардың қызметкерлері, азаматтық қоғам институтының, Қазақстан Республикасының "Атамекен" Ұлттық кәсіпкерлік палатасының, салалық қауымдастықтың, Қазақстан Республикасы Жоғары оқу орындары қауымдастығының және/немесе Қазақстан Республикасы Жоғары оқу орындары ректорлары кеңесінің өкілдерінен құрылады. Комиссия мүшелері арасынан көпшілік дауыспен комиссия төрағасы сайланады. Комиссия құрамының саны оның төрағасын қоса алғанда тақ болады.";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"28. Жоғары және жоғары оқу орнынан кейінгі білімі бар кадрларды даярлауға арналған мемлекеттік білім беру тапсырысын орналастыру конкурсына қатысу үшін жоғары оқу орындары білім беру саласындағы уәкілетті органға электрондық форматта мынадай құжаттарды қамтитын конкурстық өтінімді ұсынады:</w:t>
      </w:r>
    </w:p>
    <w:bookmarkEnd w:id="5"/>
    <w:bookmarkStart w:name="z9" w:id="6"/>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нысандағы жоғары оқу орнының өтінімін;</w:t>
      </w:r>
    </w:p>
    <w:bookmarkEnd w:id="6"/>
    <w:bookmarkStart w:name="z10" w:id="7"/>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белгіленген нысандағы жоғары оқу орнының сауалнамасын;</w:t>
      </w:r>
    </w:p>
    <w:bookmarkEnd w:id="7"/>
    <w:bookmarkStart w:name="z11" w:id="8"/>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белгіленген нысандағы жоғары оқу орнының ақпараттық картасын;</w:t>
      </w:r>
    </w:p>
    <w:bookmarkEnd w:id="8"/>
    <w:bookmarkStart w:name="z12" w:id="9"/>
    <w:p>
      <w:pPr>
        <w:spacing w:after="0"/>
        <w:ind w:left="0"/>
        <w:jc w:val="both"/>
      </w:pPr>
      <w:r>
        <w:rPr>
          <w:rFonts w:ascii="Times New Roman"/>
          <w:b w:val="false"/>
          <w:i w:val="false"/>
          <w:color w:val="000000"/>
          <w:sz w:val="28"/>
        </w:rPr>
        <w:t xml:space="preserve">
      4)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белгіленген нысандағы тиісті оқу жылына жоғары және жоғары оқу орнынан кейінгі білімі бар кадрларды даярлауға арналған мемлекеттік білім беру тапсырысын орналастыру ұсынысын.</w:t>
      </w:r>
    </w:p>
    <w:bookmarkEnd w:id="9"/>
    <w:bookmarkStart w:name="z13" w:id="10"/>
    <w:p>
      <w:pPr>
        <w:spacing w:after="0"/>
        <w:ind w:left="0"/>
        <w:jc w:val="both"/>
      </w:pPr>
      <w:r>
        <w:rPr>
          <w:rFonts w:ascii="Times New Roman"/>
          <w:b w:val="false"/>
          <w:i w:val="false"/>
          <w:color w:val="000000"/>
          <w:sz w:val="28"/>
        </w:rPr>
        <w:t xml:space="preserve">
      ЖОО-лар ұсынған ақпараттық карталардың көрсеткіштері бойынша даулы мәселелер туындаған жағдайда осы Ереженің </w:t>
      </w:r>
      <w:r>
        <w:rPr>
          <w:rFonts w:ascii="Times New Roman"/>
          <w:b w:val="false"/>
          <w:i w:val="false"/>
          <w:color w:val="000000"/>
          <w:sz w:val="28"/>
        </w:rPr>
        <w:t>28-тармағының</w:t>
      </w:r>
      <w:r>
        <w:rPr>
          <w:rFonts w:ascii="Times New Roman"/>
          <w:b w:val="false"/>
          <w:i w:val="false"/>
          <w:color w:val="000000"/>
          <w:sz w:val="28"/>
        </w:rPr>
        <w:t xml:space="preserve"> 3) тармақшасына сәйкес Комиссия растау құжаттарын сұратады.";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"29. Конкурстық өтінімге кіретін құжаттар нөмірленеді, ЖОО-ның бірінші басшысы қол қояды, мөрмен расталады және электрондық форматта конкурс өткізу туралы хабарландыруда көрсетілген тәртіппен ұсынылады.</w:t>
      </w:r>
    </w:p>
    <w:bookmarkEnd w:id="11"/>
    <w:bookmarkStart w:name="z16" w:id="12"/>
    <w:p>
      <w:pPr>
        <w:spacing w:after="0"/>
        <w:ind w:left="0"/>
        <w:jc w:val="both"/>
      </w:pPr>
      <w:r>
        <w:rPr>
          <w:rFonts w:ascii="Times New Roman"/>
          <w:b w:val="false"/>
          <w:i w:val="false"/>
          <w:color w:val="000000"/>
          <w:sz w:val="28"/>
        </w:rPr>
        <w:t>
      Бұл ретте жоғары оқу орындары ұсынған мәліметтер Білім берудің бірыңғай ақпараттық жүйесі деректерімен сәйкестігі тұрғысында салыстырылады.";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"30. Конкурстық өтінім білім беру саласындағы уәкілетті органға электрондық форматта конкурс өткізу туралы хабарландыруда көрсетілген сағат пен күннен кешіктірілмей жіберіледі. Конкурстық өтінімдерді беру мерзімі аяқталғаннан кейін келіп түскен конкурстық өтінім кешігу себептеріне қарамастан қаралмайды. Конкурстық өтінімдерге оларды беру мерзімі өткеннен кейін қандай да бір өзгерістер енгізуге жол берілмейді.";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"36. Дайындық бөлімдеріне тыңдаушыларды оқытуға мемлекеттік білім беру тапсырысын орналастыру конкурсына қатысу үшін жоғары оқу орындары білім беру саласындағы уәкілетті органға электрондық форматта мынадай құжаттарды қамтитын конкурстық өтінімді ұсынады:</w:t>
      </w:r>
    </w:p>
    <w:bookmarkEnd w:id="14"/>
    <w:bookmarkStart w:name="z21" w:id="15"/>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белгіленген нысандағы жоғары оқу орнының өтінімін;</w:t>
      </w:r>
    </w:p>
    <w:bookmarkEnd w:id="15"/>
    <w:bookmarkStart w:name="z22" w:id="16"/>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белгіленген нысандағы жоғары оқу орнының сауалнамасын;</w:t>
      </w:r>
    </w:p>
    <w:bookmarkEnd w:id="16"/>
    <w:bookmarkStart w:name="z23" w:id="17"/>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белгіленген нысандағы дайындық бөлімдеріне тыңдаушыларды оқытуға мемлекеттік білім беру тапсырысын орналастыру ұсынысын.";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44-тармақтың</w:t>
      </w:r>
      <w:r>
        <w:rPr>
          <w:rFonts w:ascii="Times New Roman"/>
          <w:b w:val="false"/>
          <w:i w:val="false"/>
          <w:color w:val="000000"/>
          <w:sz w:val="28"/>
        </w:rPr>
        <w:t xml:space="preserve"> сегізінші бөлігі мынадай редакцияда жазылсын:</w:t>
      </w:r>
    </w:p>
    <w:bookmarkStart w:name="z25" w:id="18"/>
    <w:p>
      <w:pPr>
        <w:spacing w:after="0"/>
        <w:ind w:left="0"/>
        <w:jc w:val="both"/>
      </w:pPr>
      <w:r>
        <w:rPr>
          <w:rFonts w:ascii="Times New Roman"/>
          <w:b w:val="false"/>
          <w:i w:val="false"/>
          <w:color w:val="000000"/>
          <w:sz w:val="28"/>
        </w:rPr>
        <w:t>
      "Жоғары және жоғары оқу орнынан кейiнгi бiлiмi бар кадрларды даярлауға мемлекеттiк бiлiм беру тапсырысын орналастыру конкурсына қатысу үшін жоғары оқу орындары ЖАО-ларға электрондық форматта мынадай құжаттарды:</w:t>
      </w:r>
    </w:p>
    <w:bookmarkEnd w:id="18"/>
    <w:bookmarkStart w:name="z26" w:id="1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белгіленген нысан бойынша жоғары оқу орнының өтінімін;</w:t>
      </w:r>
    </w:p>
    <w:bookmarkEnd w:id="19"/>
    <w:bookmarkStart w:name="z27" w:id="2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белгіленген нысан бойынша жоғары оқу орнының сауалнамасын;</w:t>
      </w:r>
    </w:p>
    <w:bookmarkEnd w:id="20"/>
    <w:bookmarkStart w:name="z28" w:id="21"/>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белгіленген нысан бойынша тиісті оқу жылына арналған жоғары және жоғары оқу орнынан кейiнгi бiлiмi бар кадрларды даярлауға мемлекеттiк бiлiм беру тапсырысын орналастыруға ұсыныстарды қамтитын конкурстық өтінім береді.";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44-тармақтың</w:t>
      </w:r>
      <w:r>
        <w:rPr>
          <w:rFonts w:ascii="Times New Roman"/>
          <w:b w:val="false"/>
          <w:i w:val="false"/>
          <w:color w:val="000000"/>
          <w:sz w:val="28"/>
        </w:rPr>
        <w:t xml:space="preserve"> тоғызыншы бөлігі мынадай редакцияда жазылсын:</w:t>
      </w:r>
    </w:p>
    <w:bookmarkStart w:name="z30" w:id="22"/>
    <w:p>
      <w:pPr>
        <w:spacing w:after="0"/>
        <w:ind w:left="0"/>
        <w:jc w:val="both"/>
      </w:pPr>
      <w:r>
        <w:rPr>
          <w:rFonts w:ascii="Times New Roman"/>
          <w:b w:val="false"/>
          <w:i w:val="false"/>
          <w:color w:val="000000"/>
          <w:sz w:val="28"/>
        </w:rPr>
        <w:t>
      "Конкурстық өтінімге кіретін құжаттар нөмірленеді, ЖОО-ның бірінші басшысы қол қояды және мөрмен куәландырылады және конкурс өткізу туралы хабарландыруда көрсетілген тәртіппен электрондық форматта ұсынылады.";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32" w:id="23"/>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23"/>
    <w:bookmarkStart w:name="z33" w:id="2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4"/>
    <w:bookmarkStart w:name="z34" w:id="25"/>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ресми интернет-ресурсында орналастыруды;</w:t>
      </w:r>
    </w:p>
    <w:bookmarkEnd w:id="25"/>
    <w:bookmarkStart w:name="z35" w:id="26"/>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осы тармақтың 1) және 2) тармақшаларында көзделеген іс-шаралардың орындалуы туралы мәліметтерді Қазақстан Респуликасы Білім және ғылым министрлігінің Заң департаментіне ұсынылуын қамтамасыз етсін.</w:t>
      </w:r>
    </w:p>
    <w:bookmarkEnd w:id="26"/>
    <w:bookmarkStart w:name="z36" w:id="2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М.М. Дәуленовке жүктелсін.</w:t>
      </w:r>
    </w:p>
    <w:bookmarkEnd w:id="27"/>
    <w:bookmarkStart w:name="z37" w:id="2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мамырдағы</w:t>
            </w:r>
            <w:r>
              <w:br/>
            </w:r>
            <w:r>
              <w:rPr>
                <w:rFonts w:ascii="Times New Roman"/>
                <w:b w:val="false"/>
                <w:i w:val="false"/>
                <w:color w:val="000000"/>
                <w:sz w:val="20"/>
              </w:rPr>
              <w:t>№ 186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жоғары және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білімі бар кадрлар даярлауға,</w:t>
            </w:r>
            <w:r>
              <w:br/>
            </w:r>
            <w:r>
              <w:rPr>
                <w:rFonts w:ascii="Times New Roman"/>
                <w:b w:val="false"/>
                <w:i w:val="false"/>
                <w:color w:val="000000"/>
                <w:sz w:val="20"/>
              </w:rPr>
              <w:t>сондай-ақ 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дайындық бөлімдеріне, мектепке</w:t>
            </w:r>
            <w:r>
              <w:br/>
            </w:r>
            <w:r>
              <w:rPr>
                <w:rFonts w:ascii="Times New Roman"/>
                <w:b w:val="false"/>
                <w:i w:val="false"/>
                <w:color w:val="000000"/>
                <w:sz w:val="20"/>
              </w:rPr>
              <w:t>дейінгі тәрбиелеу мен оқытуға</w:t>
            </w:r>
            <w:r>
              <w:br/>
            </w:r>
            <w:r>
              <w:rPr>
                <w:rFonts w:ascii="Times New Roman"/>
                <w:b w:val="false"/>
                <w:i w:val="false"/>
                <w:color w:val="000000"/>
                <w:sz w:val="20"/>
              </w:rPr>
              <w:t>мемлекеттік білім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қағидаларына 7-қосымша</w:t>
            </w:r>
          </w:p>
        </w:tc>
      </w:tr>
    </w:tbl>
    <w:p>
      <w:pPr>
        <w:spacing w:after="0"/>
        <w:ind w:left="0"/>
        <w:jc w:val="left"/>
      </w:pPr>
      <w:r>
        <w:rPr>
          <w:rFonts w:ascii="Times New Roman"/>
          <w:b/>
          <w:i w:val="false"/>
          <w:color w:val="000000"/>
        </w:rPr>
        <w:t xml:space="preserve"> Жоғары оқу орнының ақпараттық картасы  ________________________________________________  (жоғары оқу орнының атауы) ________________________________________________  (білім беру бағдарламасы тобының коды,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8098"/>
        <w:gridCol w:w="3694"/>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туралы жалпы мәліметтер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 түрі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(немесе) ұлттық институционалдық аккредиттеу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беру/жібермеу.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порталының болуы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беру/жібермеу.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рейтинг:</w:t>
            </w:r>
            <w:r>
              <w:br/>
            </w:r>
            <w:r>
              <w:rPr>
                <w:rFonts w:ascii="Times New Roman"/>
                <w:b w:val="false"/>
                <w:i w:val="false"/>
                <w:color w:val="000000"/>
                <w:sz w:val="20"/>
              </w:rPr>
              <w:t>
-Times higher education</w:t>
            </w:r>
            <w:r>
              <w:br/>
            </w:r>
            <w:r>
              <w:rPr>
                <w:rFonts w:ascii="Times New Roman"/>
                <w:b w:val="false"/>
                <w:i w:val="false"/>
                <w:color w:val="000000"/>
                <w:sz w:val="20"/>
              </w:rPr>
              <w:t>
-- QS World University Rankings</w:t>
            </w: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Позициясы:</w:t>
            </w:r>
            <w:r>
              <w:br/>
            </w:r>
            <w:r>
              <w:rPr>
                <w:rFonts w:ascii="Times New Roman"/>
                <w:b w:val="false"/>
                <w:i w:val="false"/>
                <w:color w:val="000000"/>
                <w:sz w:val="20"/>
              </w:rPr>
              <w:t>
(100+)=15 ұпай</w:t>
            </w:r>
            <w:r>
              <w:br/>
            </w:r>
            <w:r>
              <w:rPr>
                <w:rFonts w:ascii="Times New Roman"/>
                <w:b w:val="false"/>
                <w:i w:val="false"/>
                <w:color w:val="000000"/>
                <w:sz w:val="20"/>
              </w:rPr>
              <w:t>
(200+)=13 балл; (300+) = 11 балл; (400+) = 9 балл; (500+)=7 балл; (700+)=5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 үшін пайдаланылатын оқу-зертханалық базаны жаңартуға бөлінетін жоғары және (немесе) жоғары оқу орнынан кейінгі білім беру ұйымдарының бюджетінен бөлінетін қаражаттың үлесі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 үшін - ЖОО бюджетінен +1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объектілерінің, оның ішінде ерекше білім беру қажеттіліктері бар адамдар үшін санитариялық-эпидемиологиялық талаптарға сәйкес меншікті немесе жалға алынған жатақхананың, хостелдің, қонақ үйдің болуы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500 орын үшін - 1 балл;</w:t>
            </w:r>
            <w:r>
              <w:br/>
            </w:r>
            <w:r>
              <w:rPr>
                <w:rFonts w:ascii="Times New Roman"/>
                <w:b w:val="false"/>
                <w:i w:val="false"/>
                <w:color w:val="000000"/>
                <w:sz w:val="20"/>
              </w:rPr>
              <w:t>
1000 орын-2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(немесе) жоғары оқу орнынан кейінгі білім беру ұйымдарының болмауы Қазақстан Республикасының Мемлекеттік сатып алу порталының мемлекеттік сатып алуға жосықсыз қатысушылар тізілімінде конкурсқа қатысуға құжаттар беру сәтінде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беру/жібермеу.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ерекше білім беру қажеттіліктері бар адамдар үшін жағдайлардың болуы (кіру жолдары, ақпараттық-навигациялық қолдау құралдары, баспалдақтарды пандустармен немесе көтергіш құрылғылармен қайталау, баспалдақтар мен пандустарды тұтқалармен жабдықтау, есіктер мен баспалдақтарды қарама-қарсы бояумен бояу, мүгедектердің автокөлік құралдарын қою үшін орындар бөлу).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топтағы мүгедек балалар мен мүгедектерге арналған квота бойынша білім беру гранттарын беру конкурсына қатысуға рұқсат беру / жібермеу.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бекіткен талаптарға сәйкес студенттер мен ПОҚ контингенті туралы өзекті деректер базасымен жоғары және (немесе) жоғары оқу орнынан кейінгі білім беру ұйымдарының ақпараттық жүйесінің болуы және нақты деректердің ұлттық білім беру деректер базасымен сәйкестігі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 жібермеу.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бағдарламаларының топтары бойынша жалпы мәліметтер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даярлау бағыттары бойынша білім беру қызметін жүргізу құқығына арналған лицензияға қосымша (бар/жоқ)</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 жібермеу.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 немесе Ұлттық мамандандырылған аккредиттеу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аккредитацияның болуы +2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рейтингісінде жоғары және (немесе) жоғары оқу орнынан кейінгі білім беру ұйымдарының білім беру бағдарламасының позициясы"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жоғары-50 балл;</w:t>
            </w:r>
            <w:r>
              <w:br/>
            </w:r>
            <w:r>
              <w:rPr>
                <w:rFonts w:ascii="Times New Roman"/>
                <w:b w:val="false"/>
                <w:i w:val="false"/>
                <w:color w:val="000000"/>
                <w:sz w:val="20"/>
              </w:rPr>
              <w:t>
Орташа - 30 ұпай;</w:t>
            </w:r>
            <w:r>
              <w:br/>
            </w:r>
            <w:r>
              <w:rPr>
                <w:rFonts w:ascii="Times New Roman"/>
                <w:b w:val="false"/>
                <w:i w:val="false"/>
                <w:color w:val="000000"/>
                <w:sz w:val="20"/>
              </w:rPr>
              <w:t>
Ортадан төмен-10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Түлектерді жұмысқа орналастыру, білім беру бағдарламасының топтары бойынша жұмысқа орналастырылған бітірушілердің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 дан астам-3 балл; 70% - 2 балл</w:t>
            </w:r>
            <w:r>
              <w:br/>
            </w:r>
            <w:r>
              <w:rPr>
                <w:rFonts w:ascii="Times New Roman"/>
                <w:b w:val="false"/>
                <w:i w:val="false"/>
                <w:color w:val="000000"/>
                <w:sz w:val="20"/>
              </w:rPr>
              <w:t>
60 % - дан артық-1 балл;</w:t>
            </w:r>
            <w:r>
              <w:br/>
            </w:r>
            <w:r>
              <w:rPr>
                <w:rFonts w:ascii="Times New Roman"/>
                <w:b w:val="false"/>
                <w:i w:val="false"/>
                <w:color w:val="000000"/>
                <w:sz w:val="20"/>
              </w:rPr>
              <w:t>
50% - дан кем-рұқсат етілмейді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тізілімінде тіркелген Білім беру бағдарламаларының болуы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 жібермеу.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тізілімінде тіркелген ағылшын тіліндегі білім беру бағдарламаларының болуы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кадрлық қамтамасыз етілуі және біліктілік деңгейі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оқытушылардың жалпы саны: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оның ішінде білім беру бағдарламаларының топтары бойынша)</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меңгерген бейіндік пәндер бойынша ПОҚ саны: IELTS (АЙЛТС) - 4,5 - тен кем емес; TOEFL PBT - 493 - тен кем емес; TOEFL ITP - 150 - ден кем емес; TOEFL CBT - 166-ден кем емес; TOEFL IBT-58-ден кем емес); CEFR-В1; APTIS-38-ден кем емес.</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ПОҚ - 1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академиялық кезеңнен кем емес мерзімге келісім-шарт бойынша ЖОО-да жұмыс істейтін шетелдік оқытушылардың саны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ПОҚ - 0,3 балла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ЖОО бойынша ПОҚ дәрежелілігі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 -1 балл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бойынша ПОҚ дәрежелілігі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 -1 балл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 ғылыми-зерттеу қызметі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және бағдарламалық-нысаналы қаржыландыру негізінде іргелі зерттеулер/қолданбалы зерттеулер бойынша орындалатын ғылыми және ғылыми-техникалық бағдарламалар/ жобалар саны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бағдарлама (жоба) үшін-1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 орындаған ғылыми-зерттеу жұмыстарының жалпы көлемі (теңгемен)</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млн.теңгеден кем - 0,5 балл;</w:t>
            </w:r>
            <w:r>
              <w:br/>
            </w:r>
            <w:r>
              <w:rPr>
                <w:rFonts w:ascii="Times New Roman"/>
                <w:b w:val="false"/>
                <w:i w:val="false"/>
                <w:color w:val="000000"/>
                <w:sz w:val="20"/>
              </w:rPr>
              <w:t>
50 млн.теңгеден астам. - 1 балл;</w:t>
            </w:r>
            <w:r>
              <w:br/>
            </w:r>
            <w:r>
              <w:rPr>
                <w:rFonts w:ascii="Times New Roman"/>
                <w:b w:val="false"/>
                <w:i w:val="false"/>
                <w:color w:val="000000"/>
                <w:sz w:val="20"/>
              </w:rPr>
              <w:t>
100 млн.теңгеден астам - 2 балл;</w:t>
            </w:r>
            <w:r>
              <w:br/>
            </w:r>
            <w:r>
              <w:rPr>
                <w:rFonts w:ascii="Times New Roman"/>
                <w:b w:val="false"/>
                <w:i w:val="false"/>
                <w:color w:val="000000"/>
                <w:sz w:val="20"/>
              </w:rPr>
              <w:t>
300 млн.теңгеден астам. - 3 балл;</w:t>
            </w:r>
            <w:r>
              <w:br/>
            </w:r>
            <w:r>
              <w:rPr>
                <w:rFonts w:ascii="Times New Roman"/>
                <w:b w:val="false"/>
                <w:i w:val="false"/>
                <w:color w:val="000000"/>
                <w:sz w:val="20"/>
              </w:rPr>
              <w:t>
100 млн.теңгеден астам - 4 балл;</w:t>
            </w:r>
            <w:r>
              <w:br/>
            </w:r>
            <w:r>
              <w:rPr>
                <w:rFonts w:ascii="Times New Roman"/>
                <w:b w:val="false"/>
                <w:i w:val="false"/>
                <w:color w:val="000000"/>
                <w:sz w:val="20"/>
              </w:rPr>
              <w:t>
1000 млн.теңгеден астам - 5 балл;</w:t>
            </w:r>
            <w:r>
              <w:br/>
            </w:r>
            <w:r>
              <w:rPr>
                <w:rFonts w:ascii="Times New Roman"/>
                <w:b w:val="false"/>
                <w:i w:val="false"/>
                <w:color w:val="000000"/>
                <w:sz w:val="20"/>
              </w:rPr>
              <w:t>
50 000 млн.теңгеден астам - 10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 орындаған халықаралық ғылыми-зерттеу жұмыстарының жалпы көлемі (теңгемен)</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млн.теңгеден кем - 0,5 балл;</w:t>
            </w:r>
            <w:r>
              <w:br/>
            </w:r>
            <w:r>
              <w:rPr>
                <w:rFonts w:ascii="Times New Roman"/>
                <w:b w:val="false"/>
                <w:i w:val="false"/>
                <w:color w:val="000000"/>
                <w:sz w:val="20"/>
              </w:rPr>
              <w:t>
50 млн.теңгеден астам. - 1 балл;</w:t>
            </w:r>
            <w:r>
              <w:br/>
            </w:r>
            <w:r>
              <w:rPr>
                <w:rFonts w:ascii="Times New Roman"/>
                <w:b w:val="false"/>
                <w:i w:val="false"/>
                <w:color w:val="000000"/>
                <w:sz w:val="20"/>
              </w:rPr>
              <w:t>
100 млн.теңгеден астам - 3 балл;</w:t>
            </w:r>
            <w:r>
              <w:br/>
            </w:r>
            <w:r>
              <w:rPr>
                <w:rFonts w:ascii="Times New Roman"/>
                <w:b w:val="false"/>
                <w:i w:val="false"/>
                <w:color w:val="000000"/>
                <w:sz w:val="20"/>
              </w:rPr>
              <w:t>
150 млн теңгеден астам. - 3,5 балл;</w:t>
            </w:r>
            <w:r>
              <w:br/>
            </w:r>
            <w:r>
              <w:rPr>
                <w:rFonts w:ascii="Times New Roman"/>
                <w:b w:val="false"/>
                <w:i w:val="false"/>
                <w:color w:val="000000"/>
                <w:sz w:val="20"/>
              </w:rPr>
              <w:t>
300 млн.теңгеден астам. - 5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оның ішінде 1 штаттық оқытушыға (теңгемен)</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 ғылыми жарияланымдарының саны: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Clarivate Analytics деректер базасына белгілі бір тоқсандарға (Q1-Q4) енгізілген шетелдік рейтингтік журналдарда немесе Scopus деректер базасындағы citescore бойынша процентиль көрсеткіші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Q1-Q2 журналдарында 10 мақала және / немесе citescore бойынша процентильден 90-5 баллдан жоғары</w:t>
            </w:r>
            <w:r>
              <w:br/>
            </w:r>
            <w:r>
              <w:rPr>
                <w:rFonts w:ascii="Times New Roman"/>
                <w:b w:val="false"/>
                <w:i w:val="false"/>
                <w:color w:val="000000"/>
                <w:sz w:val="20"/>
              </w:rPr>
              <w:t>
Q3-Q4 журналдарында 10 мақала және / немесе citescore бойынша пайыз 50-2 баллдан жоғары</w:t>
            </w:r>
            <w:r>
              <w:br/>
            </w:r>
            <w:r>
              <w:rPr>
                <w:rFonts w:ascii="Times New Roman"/>
                <w:b w:val="false"/>
                <w:i w:val="false"/>
                <w:color w:val="000000"/>
                <w:sz w:val="20"/>
              </w:rPr>
              <w:t>
Citescore бойынша пайыздық журналдарда 10 мақала 35 - 1 баллдан жоғары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серіктестік және халықаралық қызмет</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 ТОП 700+рейтингіне кіретін жоғары оқу орындарымен бірлескен (қос дипломды) білім беру бағдарламаларының саны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бағдарлама - 1 балл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 беру ұйымдарымен бірлескен қаржыландырылатын зерттеу жобаларының саны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бағдарлама - 1 балл</w:t>
            </w:r>
          </w:p>
        </w:tc>
      </w:tr>
    </w:tbl>
    <w:p>
      <w:pPr>
        <w:spacing w:after="0"/>
        <w:ind w:left="0"/>
        <w:jc w:val="both"/>
      </w:pPr>
      <w:r>
        <w:rPr>
          <w:rFonts w:ascii="Times New Roman"/>
          <w:b w:val="false"/>
          <w:i w:val="false"/>
          <w:color w:val="000000"/>
          <w:sz w:val="28"/>
        </w:rPr>
        <w:t xml:space="preserve">
      Жоғарыда келтірілген ақпараттың шынайылығын растаймын. </w:t>
      </w:r>
    </w:p>
    <w:p>
      <w:pPr>
        <w:spacing w:after="0"/>
        <w:ind w:left="0"/>
        <w:jc w:val="both"/>
      </w:pPr>
      <w:r>
        <w:rPr>
          <w:rFonts w:ascii="Times New Roman"/>
          <w:b w:val="false"/>
          <w:i w:val="false"/>
          <w:color w:val="000000"/>
          <w:sz w:val="28"/>
        </w:rPr>
        <w:t xml:space="preserve">
      Ұйымның басшысы ________________________ </w:t>
      </w:r>
    </w:p>
    <w:p>
      <w:pPr>
        <w:spacing w:after="0"/>
        <w:ind w:left="0"/>
        <w:jc w:val="both"/>
      </w:pPr>
      <w:r>
        <w:rPr>
          <w:rFonts w:ascii="Times New Roman"/>
          <w:b w:val="false"/>
          <w:i w:val="false"/>
          <w:color w:val="000000"/>
          <w:sz w:val="28"/>
        </w:rPr>
        <w:t xml:space="preserve">
      (қолы, Т. А. Ә.) </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