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f783" w14:textId="19cf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"Тексеру нәтижелері туралы хабарламаға және (немесе) бұзушылықтарды жою туралы хабарламаға шағымдарды қарау бойынша апелляциялық комиссия туралы ережені бекіту туралы" Қазақстан Республикасы Қаржы министрінің 2018 жылғы 12 қаңтардағы № 23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2020 жылғы 1 маусымдағы № 551 бұйрығы. Қазақстан Республикасының Әділет министрлігінде 2020 жылғы 2 маусымда № 20811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"Тексеру нәтижелері туралы хабарламаға және (немесе) бұзушылықтарды жою туралы хабарламаға шағымдарды қарау бойынша апелляциялық комиссия туралы ережені бекіту туралы" Қазақстан Республикасы Қаржы министрінің 2018 жылғы 12 қаңтардағы № 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16289 болып тіркелген, Қазақстан Республикасы нормативтік құқықтық актілерінің эталондық бақылау банкінде 2018 жылғы 7 ақпанда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Тексеру нәтижелері туралы хабарламаға және (немесе) бұзушылықтарды жою туралы хабарламаға шағымдарды қарау бойынша апелляциялық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Комиссия салықтық, сол сияқты кедендік тексерулер бойынша шағымдарды қараған кезде, мүшенің - уәкілетті орган ведомствосы өкілінің қатысуы міндетті шарт болып табылады.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 мүшесінің болмауы шағымдарды келесі Комиссия отырысына қарау үшін шығаруға негіз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салықтық, сол сияқты кедендік тексерулер бойынша шағымдарды қараған кезде "Атамекен" Қазақстан Республикасының Ұлттық кәсіпкерлер палатасынан тиісті бағытқа тәлімгерлік ететін өкілдер қатысады.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Шағым мәселелері бойынша Комиссияның шешімі отырысқа қатысушылардың қарапайым көпшілік дауысымен ашық дауыс берумен қабылданады.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палатасының өкілдері өзінің құзыретіне енетін мәселер бойынша (тәлімгерлік ететін бағыт бойынша) ғана дауыс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Дауыс санау кезінде "Атамекен" Қазақстан Республикасының Ұлттық кәсіпкерлер палатасынан 1 (бір) дауыс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Дауыс беру Комиссия отырысында осы Ережеге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нысанда Апелляциялық комиссия мүшелерінің дауыс беру парағын толтыру арқылы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Дауыстар тең болған жағдайда, Комиссия Төрағасы дауыс берген шешім қабылданды деп есептеледі.".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Апелляция департаменті заңнамада белгіленген тәртіппен: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ішінде,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