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733a7" w14:textId="25733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 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өзгеріс және толықтыру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5 шiлдедегi № ҚР ДСМ-77/2020 және Қазақстан Республикасы Ұлттық экономика министрінің 2020 жылғы 6 шiлдедегi № 52 бірлескен бұйрығы. Қазақстан Республикасының Әділет министрлігінде 2020 жылғы 6 шiлдеде № 20936 болып тіркелді. Күші жойылды - Қазақстан Республикасы Денсаулық сақтау министрінің 2022 жылғы 2 желтоқсандағы № ҚР ДСМ-152 және Қазақстан Республикасы Ұлттық экономика министрінің 2022 жылғы 2 желтоқсандағы № 117 бірлескен бұйрығымен.</w:t>
      </w:r>
    </w:p>
    <w:p>
      <w:pPr>
        <w:spacing w:after="0"/>
        <w:ind w:left="0"/>
        <w:jc w:val="both"/>
      </w:pPr>
      <w:r>
        <w:rPr>
          <w:rFonts w:ascii="Times New Roman"/>
          <w:b w:val="false"/>
          <w:i w:val="false"/>
          <w:color w:val="ff0000"/>
          <w:sz w:val="28"/>
        </w:rPr>
        <w:t xml:space="preserve">
      Ескерту. Бірлескен бұйрықтың күші жойылды - ҚР Денсаулық сақтау министрінің 02.12.2022 № ҚР ДСМ-152 және ҚР Ұлттық экономика министрінің 02.12.2022 № 117 </w:t>
      </w:r>
      <w:r>
        <w:rPr>
          <w:rFonts w:ascii="Times New Roman"/>
          <w:b w:val="false"/>
          <w:i w:val="false"/>
          <w:color w:val="ff0000"/>
          <w:sz w:val="28"/>
        </w:rPr>
        <w:t>бірлескен бұйрығымен</w:t>
      </w:r>
      <w:r>
        <w:rPr>
          <w:rFonts w:ascii="Times New Roman"/>
          <w:b w:val="false"/>
          <w:i w:val="false"/>
          <w:color w:val="ff0000"/>
          <w:sz w:val="28"/>
        </w:rPr>
        <w:t xml:space="preserve"> (01.01.2023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1" w:id="0"/>
    <w:p>
      <w:pPr>
        <w:spacing w:after="0"/>
        <w:ind w:left="0"/>
        <w:jc w:val="both"/>
      </w:pPr>
      <w:r>
        <w:rPr>
          <w:rFonts w:ascii="Times New Roman"/>
          <w:b w:val="false"/>
          <w:i w:val="false"/>
          <w:color w:val="000000"/>
          <w:sz w:val="28"/>
        </w:rPr>
        <w:t xml:space="preserve">
      2015 жылғы 29 қазандағы Қазақстан Республикасы Кәсіпкерлік Кодексінің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 тәуекел дәрежесін бағалау өлшемшарттарын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актілердің мемлекеттік тіркеу тізілімінде № 15512 болып тіркелген, Қазақстан Республикасының нормативтік құқықтық актілерінің эталондық бақылау банкінде 2017 жылғы 6 қыркүйекте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реадкцияда жазылсын:</w:t>
      </w:r>
    </w:p>
    <w:bookmarkEnd w:id="2"/>
    <w:bookmarkStart w:name="z4" w:id="3"/>
    <w:p>
      <w:pPr>
        <w:spacing w:after="0"/>
        <w:ind w:left="0"/>
        <w:jc w:val="both"/>
      </w:pPr>
      <w:r>
        <w:rPr>
          <w:rFonts w:ascii="Times New Roman"/>
          <w:b w:val="false"/>
          <w:i w:val="false"/>
          <w:color w:val="000000"/>
          <w:sz w:val="28"/>
        </w:rPr>
        <w:t xml:space="preserve">
      "2) халықтың санитариялық-эпидемиологиялық саламаттылығы саласындағы: </w:t>
      </w:r>
    </w:p>
    <w:bookmarkEnd w:id="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амбулаториялық-емханалық және консультациялық-диагностикалық көмек көрсететін денсаулық сақтау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дәрілік заттарды дайындау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дәрілік заттарды, медициналық мақсаттағы бұйымдарды, медициналық техниканы сақтау, көтерме және бөлшек саудада өткізу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дәстүрлі және халық медицинасы (емшілік)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паллиативтік көмек және мейіргерлік күтім көрсететін денсаулық сақтау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денсаулық сақтау, қалпына келтіру емі және медициналық оңалту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стационарлық көмек көрсететін денсаулық сақтау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стоматологиялық қызмет көрсететін объектілерге;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сот медицинасы және патологиялық анатомия саласында қызметті жүзеге асыратын денсаулық сақтау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қан қызметі саласында қызметті жүзеге асыратын денсаулық сақтау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мектепке дейінгі тәрбиелеу және оқыту объектілерге;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балалардың сауықтыру және санаторлық (жыл бойғы, маусымдық)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компьютерлер (дербес компьютерлер, планшетті дербес ноутбуктер) және бейнетерминалдар (компьютер клубтары) арқылы халыққа қызмет көрсету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білім беру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тамақ өнімдерін өндіретін, қайта өңдейтін және өткізетін қоғамдық тамақтану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тамақ өнімдерін өндіру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көтерме және бөлшек сауда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жолаушыларды тасымалдауды жүзеге асыратын ұйымдарға және көлік құралдарына (теміржол, су, әуе); иондаушы сәулелену көздерін, қауіпті химиялық және уытты жүктерді тасымалдауды жүзеге асыратын ұйымдарға және көлік құралдарына (теміржол, автомобиль, су және әуе);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көлік құралдарына (әуе, теміржол, су, автомобиль) және жолаушыларға қызмет көрсету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радиациялық қауіпті объектілерге;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көліктегі (теміржол, әуе, су және автомобиль) қоғамдық тамақтану объектілеріне, борттық тамақтану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парфюмерлік-косметикалық өнімдерді және гигиена құралдарын өндіру, сақтау және өткізу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адамдар уақытша тұратын объектілерге;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әлеуметтік-тұрмыстық инфрақұрылым объектілеріне (мәдени-ойын-сауық объектілері, тұрғын үй және әкімшілік ғимараттар, тұрғын үй және қоғамдық ғимараттарды, кеңселерді пайдалану ұйымдары, үйлерді басқаратын ұйымдар, үй-жай иелерінің кооперативтері);</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кәрізді (оның ішінде жауын-шашын кәрізін) тазарту құрылыстарына және желілеріне;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өндіру және тұтыну қалдықтарын орналастыру, залалсыздандыру, көму полигондарына;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спорттық-сауықтыру мақсатындағы объектілерге, бассейндерге, моншаларға, сауналарға, кір жуу, химиялық тазарту орындарына;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2-санаттағы су объектілеріне (мәдени-тұрмыстық мақсаттағы), демалыс орындарына (жағажайларға);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емдеу-косметологиялық объектілеріне, сұлулық салондарына, косметологиялық орталықтарға, шаштараздарға;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су көздеріне, шаруашылық-ауыз сумен жабдықтауға арналған су жинау орындарына, орталықтандырылған және орталықтандырылмаған шаруашылық-ауыз сумен жабдықтау жүйелеріне;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жерлеу мақсатындағы объектілерге, бейіттерге, саябақтарға, қоғамдық дәретханаларға;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өндірістік мақсаттағы, технологиялық процестер мен жабдықтар, жылыту, жарықтандыру, желдету және ауаны баптау, сумен жабдықтау, су бұру және өндірістік объектілерде (оның ішінде көлік объектілерінде) өнеркәсіптік қалдықтарды кәдеге жарату ғимараттарына, құрылыстары мен үй-жайларына;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мұнай операцияларын жүзеге асыратын технологиялық және ілеспе объектілер мен құрылыстарға;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радиотехникалық объектілерге және радиоэлектрондық құралдарға;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құрылыс объектілерін салу, реконструкциялау, жөндеу және пайдалануға енгізу кезінде өндірістік мақсаттағы объектілерге, ғимараттар мен құрылыстарға;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көмір өнеркәсібінің өндірістік мақсатындағы объектілеріне, ғимараттары мен құрылыстарына;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химиялық өнеркәсіптің өндірістік мақсатындағы объектілеріне, ғимараттары мен құрылыстарына;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түрлі-түсті металлургия және тау-кен өнеркәсібінің өндірістік мақсатындағы объектілеріне, ғимараттары мен құрылыстарына;</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40-қосымшаға</w:t>
      </w:r>
      <w:r>
        <w:rPr>
          <w:rFonts w:ascii="Times New Roman"/>
          <w:b w:val="false"/>
          <w:i w:val="false"/>
          <w:color w:val="000000"/>
          <w:sz w:val="28"/>
        </w:rPr>
        <w:t xml:space="preserve"> сәйкес зертханалардың барлық түрлеріне;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арнайы тамақ өнімдерін сақтау және (немесе) өткізу объектілеріне;</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дәрілік заттарды, вакциналар мен басқа да иммундық-биологиялық препараттарды, дезинфекциялау, дезинсекциялау, дератизациялау құралдары мен препараттарын сақтау және тасымалдау объектілеріне;</w:t>
      </w:r>
    </w:p>
    <w:p>
      <w:pPr>
        <w:spacing w:after="0"/>
        <w:ind w:left="0"/>
        <w:jc w:val="both"/>
      </w:pPr>
      <w:r>
        <w:rPr>
          <w:rFonts w:ascii="Times New Roman"/>
          <w:b w:val="false"/>
          <w:i w:val="false"/>
          <w:color w:val="000000"/>
          <w:sz w:val="28"/>
        </w:rPr>
        <w:t xml:space="preserve">
      осы бұйрыққа 43-қосымшаға сәйкес инфекциялық аурулардың таралуына байланысты карантин және шектеу шаралары енгізілген жағдайда мемлекеттік санитариялық-эпидемиологиялық бақылауға және қадағалауға жататын объектілерге қойылатын талаптары бар тексеру парақтары бекітілсін."; </w:t>
      </w:r>
    </w:p>
    <w:bookmarkStart w:name="z5"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43-қосымшамен толықтырылсын.</w:t>
      </w:r>
    </w:p>
    <w:bookmarkEnd w:id="4"/>
    <w:bookmarkStart w:name="z6" w:id="5"/>
    <w:p>
      <w:pPr>
        <w:spacing w:after="0"/>
        <w:ind w:left="0"/>
        <w:jc w:val="both"/>
      </w:pPr>
      <w:r>
        <w:rPr>
          <w:rFonts w:ascii="Times New Roman"/>
          <w:b w:val="false"/>
          <w:i w:val="false"/>
          <w:color w:val="000000"/>
          <w:sz w:val="28"/>
        </w:rPr>
        <w:t>
      2. Қазақстан Республикасы Денсаулық сақтау министрлігінің Тауарлар мен көрсетілетін қызметтер сапасын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интернет-ресурсына орналастыруды;</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Л.В. Бюрабековаға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 Құқықтық</w:t>
      </w:r>
    </w:p>
    <w:p>
      <w:pPr>
        <w:spacing w:after="0"/>
        <w:ind w:left="0"/>
        <w:jc w:val="both"/>
      </w:pPr>
      <w:r>
        <w:rPr>
          <w:rFonts w:ascii="Times New Roman"/>
          <w:b w:val="false"/>
          <w:i w:val="false"/>
          <w:color w:val="000000"/>
          <w:sz w:val="28"/>
        </w:rPr>
        <w:t>
      статистика және арнайы есепке алу</w:t>
      </w:r>
    </w:p>
    <w:p>
      <w:pPr>
        <w:spacing w:after="0"/>
        <w:ind w:left="0"/>
        <w:jc w:val="both"/>
      </w:pPr>
      <w:r>
        <w:rPr>
          <w:rFonts w:ascii="Times New Roman"/>
          <w:b w:val="false"/>
          <w:i w:val="false"/>
          <w:color w:val="000000"/>
          <w:sz w:val="28"/>
        </w:rPr>
        <w:t>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министрлігі</w:t>
            </w:r>
            <w:r>
              <w:br/>
            </w:r>
            <w:r>
              <w:rPr>
                <w:rFonts w:ascii="Times New Roman"/>
                <w:b w:val="false"/>
                <w:i w:val="false"/>
                <w:color w:val="000000"/>
                <w:sz w:val="20"/>
              </w:rPr>
              <w:t>2020 жылғы 5 шілдесі</w:t>
            </w:r>
            <w:r>
              <w:br/>
            </w:r>
            <w:r>
              <w:rPr>
                <w:rFonts w:ascii="Times New Roman"/>
                <w:b w:val="false"/>
                <w:i w:val="false"/>
                <w:color w:val="000000"/>
                <w:sz w:val="20"/>
              </w:rPr>
              <w:t>№ ҚР ДСМ-77/2020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2020 жылғы 6 шілдесі</w:t>
            </w:r>
            <w:r>
              <w:br/>
            </w:r>
            <w:r>
              <w:rPr>
                <w:rFonts w:ascii="Times New Roman"/>
                <w:b w:val="false"/>
                <w:i w:val="false"/>
                <w:color w:val="000000"/>
                <w:sz w:val="20"/>
              </w:rPr>
              <w:t xml:space="preserve">№ 52 бірлескен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463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шілдедегі</w:t>
            </w:r>
            <w:r>
              <w:br/>
            </w:r>
            <w:r>
              <w:rPr>
                <w:rFonts w:ascii="Times New Roman"/>
                <w:b w:val="false"/>
                <w:i w:val="false"/>
                <w:color w:val="000000"/>
                <w:sz w:val="20"/>
              </w:rPr>
              <w:t>№ 285 бірлескен бұйрығына</w:t>
            </w:r>
            <w:r>
              <w:br/>
            </w:r>
            <w:r>
              <w:rPr>
                <w:rFonts w:ascii="Times New Roman"/>
                <w:b w:val="false"/>
                <w:i w:val="false"/>
                <w:color w:val="000000"/>
                <w:sz w:val="20"/>
              </w:rPr>
              <w:t xml:space="preserve">43-қосымша </w:t>
            </w:r>
          </w:p>
        </w:tc>
      </w:tr>
    </w:tbl>
    <w:bookmarkStart w:name="z14" w:id="11"/>
    <w:p>
      <w:pPr>
        <w:spacing w:after="0"/>
        <w:ind w:left="0"/>
        <w:jc w:val="left"/>
      </w:pPr>
      <w:r>
        <w:rPr>
          <w:rFonts w:ascii="Times New Roman"/>
          <w:b/>
          <w:i w:val="false"/>
          <w:color w:val="000000"/>
        </w:rPr>
        <w:t xml:space="preserve"> Қазақстан Республикасы Кәсіпкерлік кодексінің 139-бабына сәйкес инфекциялық аурулардың таралуына байланысты карантин және шектеу іс-шаралары енгізілген кезде мемлекеттік санитариялық-эпидемиологиялық бақылауға және қадағалауға жататын объектілерге қатысты халықтың санитариялық-эпидемиологиялық саламаттылығы саласындағы тексеру парағы</w:t>
      </w:r>
    </w:p>
    <w:bookmarkEnd w:id="11"/>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тексеруді тағайындау туралы акті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және қадағалау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субъектісінің (объектісіні)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Орналасқан жерінің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Кіретін жерде, қызметкерлердің, келушілердің дене температурасын бақылау үшін қондырғылардың (аспаптар)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Кіреберісте, холда, лифтілерге, санитариялық тораптарға кіреберісте тері антисептигі бар санитайзерлердің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жуу, антисептиклық құралдардың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тораптарда жеке гигиена құралдарының болуы (сұйық сабын, антисептик)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антисептиктің болуы,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Қызметкерлердің жұмысқа шығуын белгілейтін мониторинг журналының болуы, болмау себептері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қарқындылығы байқалатын адамдар көп жиналатын жерлерде әлеуметтік қашықтықты сақтау үшін едендегі белгілер арқылы немесе шектеу бағандары арқылы орындар белгілерінің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жазылуды қамтамасыз етудің болуы, "күту аймағын" болдырмау, келуші (клиент) мен қызметкер арасында кемінде 1 метр қашықтықты сақтауды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пункттерінде үстелдер арасында кемінде 1 метр қашықтықты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 арасында кемінде 2 метр қашықтықты сақтау, қызмет көрсету саласындағы объектілерде оңтайлы жұмыс аймақтары шекаралары белгілерінің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бір-бірінен кемінде 1 метр қашықтықта әлеуметтік арақашықтықты сақтай отырып, бір үй-жайда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буып-түйілген түрде өткізуді қамтамасыз ету (кесілмеген көкөністер мен жемістерді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дезинфекциялық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режимін сақтауды қамтамасыз ете отырып, сауда орталықтары ішіндегі желдету жүйелері мен ауаны салқындату жүйелерінің жарамды жұмысын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іс-шараларын өткізу кезінде келушілердің бір мезгілде жиналуына жол бермеу (жобалық қуаттың 50%-ынан асырмай)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Топтардың, залдардың толымдылығын жобалық қуаттың 50%-нан асырмай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қызметін шектеуге (тыйым салуға) қойылатын талаптарды сақтау (жұмыс режимі)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күні ішінде персоналдың жеке қорғаныш құралдарымен қамтамасыз ету және уақтылы ауыстыруы (маскаларын әрбір 2 сағат сайын, қолғаптарын жарамсыз болғанда)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көлікті қоса алғанда, қоғамдық көліктің жүргізушісінде, кондукторда қолды өңдеуге арналған антисептиктің және олар талап етілетін жиілікпен міндетті түрде ауыстырылатын қорғаныш құралдарының (маскалар мен қолғаптар)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үй-жайларға, сондай-ақ қоғамдық көлікке қорғаныш маскалары жоқ келушілерді (жолаушыларды) жібермеу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көп жиналатын орындарда кемінде 1 метр қашықтықты сақтауды ұйымдастыруды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іс-шараларды, ас беру өткізуді шектеуге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іс-шараларға, оның ішінде спорттық және отбасылық іс-шараларға қатысуды шектеуге қойылатын талаптарды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актілерде белгіленген мерзімде алыс шет елдерден келгеннен кейін тестілеуден өту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xml:space="preserve">
      Бақылау және қадағалау субъектісінің басшысы 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