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4905" w14:textId="d334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 енгізу туралы және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бұйрығының кейбір нормаларының қолданылуын тоқтата тұру туралы" Қазақстан Республикасы Сауда және интеграция министрінің 2020 жылғы 3 сәуірдегі № 65-НҚ бұйрығының күші жойылды деп тану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3 тамыздағы № 163-НҚ бұйрығы. Қазақстан Республикасының Әділет министрлігінде 2020 жылғы 4 тамызда № 21053 болып тіркелді. Бұйрық 2020 жылғы 31 желтоқсанға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- 31.12.2020 дейін (осы бұйрықтың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2016 жылғы 25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 мөлшерлемелер көлемі және олардың қолданылу </w:t>
      </w:r>
      <w:r>
        <w:rPr>
          <w:rFonts w:ascii="Times New Roman"/>
          <w:b w:val="false"/>
          <w:i w:val="false"/>
          <w:color w:val="000000"/>
          <w:sz w:val="28"/>
        </w:rPr>
        <w:t>мерзімінде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"Шикі мұнай мен мұнайдан өндірілген тауарларға қолданылатын әкету кедендік бажы мөлшерлемелерінің көлемі және олардың қолданылу мерзімі" деген 2-ші бөлім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4"/>
        <w:gridCol w:w="568"/>
        <w:gridCol w:w="387"/>
        <w:gridCol w:w="357"/>
        <w:gridCol w:w="884"/>
      </w:tblGrid>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қатысты кедендік бажы мөлшерлемелері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шегінен тыс әкетілетін2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ЕСАШ-ға қатысушы елдерге әкетілетін3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1, 2710 12 150 1, 2710 12 900 2 қоспағанда 2710 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дистиляттар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w:t>
            </w:r>
            <w:r>
              <w:br/>
            </w:r>
            <w:r>
              <w:rPr>
                <w:rFonts w:ascii="Times New Roman"/>
                <w:b w:val="false"/>
                <w:i w:val="false"/>
                <w:color w:val="000000"/>
                <w:sz w:val="20"/>
              </w:rPr>
              <w:t>
2710 20 150 0,</w:t>
            </w:r>
            <w:r>
              <w:br/>
            </w:r>
            <w:r>
              <w:rPr>
                <w:rFonts w:ascii="Times New Roman"/>
                <w:b w:val="false"/>
                <w:i w:val="false"/>
                <w:color w:val="000000"/>
                <w:sz w:val="20"/>
              </w:rPr>
              <w:t>
2710 20 900 0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де мақсаттар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r>
              <w:br/>
            </w:r>
            <w:r>
              <w:rPr>
                <w:rFonts w:ascii="Times New Roman"/>
                <w:b w:val="false"/>
                <w:i w:val="false"/>
                <w:color w:val="000000"/>
                <w:sz w:val="20"/>
              </w:rPr>
              <w:t>
2710 19 350 0,</w:t>
            </w:r>
            <w:r>
              <w:br/>
            </w:r>
            <w:r>
              <w:rPr>
                <w:rFonts w:ascii="Times New Roman"/>
                <w:b w:val="false"/>
                <w:i w:val="false"/>
                <w:color w:val="000000"/>
                <w:sz w:val="20"/>
              </w:rPr>
              <w:t>
2710 19 480 0,</w:t>
            </w:r>
            <w:r>
              <w:br/>
            </w:r>
            <w:r>
              <w:rPr>
                <w:rFonts w:ascii="Times New Roman"/>
                <w:b w:val="false"/>
                <w:i w:val="false"/>
                <w:color w:val="000000"/>
                <w:sz w:val="20"/>
              </w:rPr>
              <w:t>
2710 20 190 0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r>
              <w:br/>
            </w:r>
            <w:r>
              <w:rPr>
                <w:rFonts w:ascii="Times New Roman"/>
                <w:b w:val="false"/>
                <w:i w:val="false"/>
                <w:color w:val="000000"/>
                <w:sz w:val="20"/>
              </w:rPr>
              <w:t>
2710 19 510 9 – 2710 19 550 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 өзге де мақсаттар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 майлар: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r>
              <w:br/>
            </w:r>
            <w:r>
              <w:rPr>
                <w:rFonts w:ascii="Times New Roman"/>
                <w:b w:val="false"/>
                <w:i w:val="false"/>
                <w:color w:val="000000"/>
                <w:sz w:val="20"/>
              </w:rPr>
              <w:t>
2713 90 900 0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w:t>
            </w:r>
            <w:r>
              <w:br/>
            </w:r>
            <w:r>
              <w:rPr>
                <w:rFonts w:ascii="Times New Roman"/>
                <w:b w:val="false"/>
                <w:i w:val="false"/>
                <w:color w:val="000000"/>
                <w:sz w:val="20"/>
              </w:rPr>
              <w:t>
дан алынған мұнай немесе мұнай өнімдерін қайта өңдеуден қалған өзге де қалдықтар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10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Еуразиялық экономикалық одаққа кіретін елдерді және Қазақстан Республикасының әкету кедендік бажын төлеуден босату көзделген еркін сауда аймағы туралы екіжақты және көпжақты келісім жасаған елдерді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2011 жылғы 18 қазанда Санкт-Петербург қаласында жасалған Еркін сауда аймағы туралы шарт пен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bookmarkStart w:name="z5" w:id="4"/>
    <w:p>
      <w:pPr>
        <w:spacing w:after="0"/>
        <w:ind w:left="0"/>
        <w:jc w:val="both"/>
      </w:pPr>
      <w:r>
        <w:rPr>
          <w:rFonts w:ascii="Times New Roman"/>
          <w:b w:val="false"/>
          <w:i w:val="false"/>
          <w:color w:val="000000"/>
          <w:sz w:val="28"/>
        </w:rPr>
        <w:t xml:space="preserve">
      2.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бұйрығының кейбір нормаларының қолданылуын тоқтата тұру туралы" Қазақстан Республикасы Сауда және интеграция министрінің 2020 жылғы 3 сәуірдегі № 65-НҚ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20300 болып тіркелген, Қазақстан Республикасы нормативтік құқықтық актілері электрондық түрдегі эталондық бақылау банкінде 2020 жылғы 9 сәуірде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Сауда және интеграция министрлігінің Сыртқы сауда қызметі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2020 жылғы 31 желтоқсанға дейін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w:t>
      </w:r>
      <w:r>
        <w:rPr>
          <w:rFonts w:ascii="Times New Roman"/>
          <w:b w:val="false"/>
          <w:i w:val="false"/>
          <w:color w:val="000000"/>
          <w:sz w:val="28"/>
        </w:rPr>
        <w:t xml:space="preserve"> </w:t>
      </w:r>
      <w:r>
        <w:rPr>
          <w:rFonts w:ascii="Times New Roman"/>
          <w:b/>
          <w:i w:val="false"/>
          <w:color w:val="000000"/>
          <w:sz w:val="28"/>
        </w:rPr>
        <w:t>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