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fa51" w14:textId="8b0f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түрде таратылатын банктердің тарату комиссиялары қызметінің ерекшеліктерін белгілеу туралы" Қазақстан Республикасы Ұлттық Банкі Басқармасының 2018 жылғы 29 қарашадағы № 297 қаулысына өзгеріс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24 тамыздағы № 73 қаулысы. Қазақстан Республикасының Әділет министрлігінде 2020 жылғы 26 тамызда № 21127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"Ерікті түрде таратылатын банктердің тарату комиссиялары қызметінің ерекшеліктерін белгілеу туралы" Қазақстан Республикасы Ұлттық Банкі Басқармасының 2018 жылғы 29 қарашадағы № 297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18176 болып тіркелген, 2019 жылғы 23 қаңтарда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Ерікті түрде таратылатын банктердің тарату комиссиялары қызметінің </w:t>
      </w:r>
      <w:r>
        <w:rPr>
          <w:rFonts w:ascii="Times New Roman"/>
          <w:b w:val="false"/>
          <w:i w:val="false"/>
          <w:color w:val="000000"/>
          <w:sz w:val="28"/>
        </w:rPr>
        <w:t>ерекшеліктерінде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xml:space="preserve">
      "32. Тарату комиссиясы қолма-қол ақшаны және құндылықтарды сақтауды, сондай-ақ кассалық операциялар мен құжаттарды жүргізуді Нормативтік құқықтық актілерді мемлекеттік тіркеу тізілімінде № 19680 болып тіркелген, Қазақстан Республикасы Ұлттық Банкі Басқармасының 2019 жылғы 29 қарашадағы № 231 қаулысымен бекітілген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және банкке ерікті түрде таратылу процесіне сәйкес келетін бөлігінде қолданылатын талаптарға сәйкес жүзеге асырады.".</w:t>
      </w:r>
    </w:p>
    <w:bookmarkEnd w:id="3"/>
    <w:bookmarkStart w:name="z6" w:id="4"/>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
    <w:bookmarkStart w:name="z9" w:id="7"/>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8"/>
    <w:bookmarkStart w:name="z11"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