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04c8" w14:textId="6c30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26 қыркүйектегі № 496 және Қазақстан Республикасы Ұлттық экономика министрінің 2020 жылғы 28 қыркүйектегі № 70 бірлескен бұйрығы. Қазақстан Республикасының Әділет министрлігінде 2020 жылғы 30 қыркүйекте № 21336 болып тіркелді. Күші жойылды - Қазақстан Республикасы Индустрия және инфрақұрылымдық даму министрінің 2022 жылғы 30 желтоқсандағы № 763 және Қазақстан Республикасы Ұлттық экономика министрінің 2022 жылғы 19 желтоқсандағы № 130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30.12.2022 </w:t>
      </w:r>
      <w:r>
        <w:rPr>
          <w:rFonts w:ascii="Times New Roman"/>
          <w:b w:val="false"/>
          <w:i w:val="false"/>
          <w:color w:val="ff0000"/>
          <w:sz w:val="28"/>
        </w:rPr>
        <w:t>№ 763</w:t>
      </w:r>
      <w:r>
        <w:rPr>
          <w:rFonts w:ascii="Times New Roman"/>
          <w:b w:val="false"/>
          <w:i w:val="false"/>
          <w:color w:val="ff0000"/>
          <w:sz w:val="28"/>
        </w:rPr>
        <w:t xml:space="preserve"> және ҚР Ұлттық экономика министрінің 19.12.2022 № 130 (01.01.2023 бастап қолданысқа енгiзiледi) бірлескен бұйрығымен.</w:t>
      </w:r>
    </w:p>
    <w:bookmarkStart w:name="z2" w:id="0"/>
    <w:p>
      <w:pPr>
        <w:spacing w:after="0"/>
        <w:ind w:left="0"/>
        <w:jc w:val="both"/>
      </w:pPr>
      <w:r>
        <w:rPr>
          <w:rFonts w:ascii="Times New Roman"/>
          <w:b w:val="false"/>
          <w:i w:val="false"/>
          <w:color w:val="000000"/>
          <w:sz w:val="28"/>
        </w:rPr>
        <w:t>
      БҰЙЫРАМЫЗ:</w:t>
      </w:r>
    </w:p>
    <w:bookmarkEnd w:id="0"/>
    <w:bookmarkStart w:name="z3" w:id="1"/>
    <w:p>
      <w:pPr>
        <w:spacing w:after="0"/>
        <w:ind w:left="0"/>
        <w:jc w:val="both"/>
      </w:pPr>
      <w:r>
        <w:rPr>
          <w:rFonts w:ascii="Times New Roman"/>
          <w:b w:val="false"/>
          <w:i w:val="false"/>
          <w:color w:val="000000"/>
          <w:sz w:val="28"/>
        </w:rPr>
        <w:t xml:space="preserve">
      1.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17665 болып тіркелген, 2018 жылғы 5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5"/>
    <w:bookmarkStart w:name="z8"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w:t>
            </w:r>
          </w:p>
          <w:p>
            <w:pPr>
              <w:spacing w:after="20"/>
              <w:ind w:left="20"/>
              <w:jc w:val="both"/>
            </w:pPr>
            <w:r>
              <w:rPr>
                <w:rFonts w:ascii="Times New Roman"/>
                <w:b w:val="false"/>
                <w:i w:val="false"/>
                <w:color w:val="000000"/>
                <w:sz w:val="20"/>
              </w:rPr>
              <w:t>
__________Р. Даленов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w:t>
            </w:r>
          </w:p>
          <w:p>
            <w:pPr>
              <w:spacing w:after="20"/>
              <w:ind w:left="20"/>
              <w:jc w:val="both"/>
            </w:pPr>
            <w:r>
              <w:rPr>
                <w:rFonts w:ascii="Times New Roman"/>
                <w:b w:val="false"/>
                <w:i w:val="false"/>
                <w:color w:val="000000"/>
                <w:sz w:val="20"/>
              </w:rPr>
              <w:t>
__________Б. Атамкулов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26 қыркүйегі № 496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 № 70</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құрылыс және мемлекеттік</w:t>
            </w:r>
            <w:r>
              <w:br/>
            </w:r>
            <w:r>
              <w:rPr>
                <w:rFonts w:ascii="Times New Roman"/>
                <w:b w:val="false"/>
                <w:i w:val="false"/>
                <w:color w:val="000000"/>
                <w:sz w:val="20"/>
              </w:rPr>
              <w:t>сәулет-құрылыс бақылау мен</w:t>
            </w:r>
            <w:r>
              <w:br/>
            </w:r>
            <w:r>
              <w:rPr>
                <w:rFonts w:ascii="Times New Roman"/>
                <w:b w:val="false"/>
                <w:i w:val="false"/>
                <w:color w:val="000000"/>
                <w:sz w:val="20"/>
              </w:rPr>
              <w:t>қадағалау істері жөніндегі</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қызметінің сәулет, қала</w:t>
            </w:r>
            <w:r>
              <w:br/>
            </w:r>
            <w:r>
              <w:rPr>
                <w:rFonts w:ascii="Times New Roman"/>
                <w:b w:val="false"/>
                <w:i w:val="false"/>
                <w:color w:val="000000"/>
                <w:sz w:val="20"/>
              </w:rPr>
              <w:t>құрылысы және құрылыс</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бағалаудың субъективті өлшемшарттары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сызықтары және құрылыс салуды реттеу сызықтары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жобалар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(реконструкцияланатын, кеңейтілетін, модернизацияланатын, күрделі жөнделетін) және пайдалануға берілген объектілерге мониторинг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хабарламаны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мен мемлекеттік сәулет-құрылыс бақылау және қадағалау органы қызметкерінің арасында келіспеушіліктер бар болған жағдайда, келіспеушіліктер туралы акт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берілген тиісті құқықтың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жүргізудің басталғаны туралы хабарламаны қабылдау жөніндегі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жұмыс түрлерiн жүзеге асыру құқығына лицензияның бар-жоғы және лицензияланатын сәулет, қала құрылысы және құрылыс қызметiнiң санаттылыққа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штатында тиісті жоғары кәсіби білімі және жұмыс тәжірибесі бар кемінде бір инженерлік-техникалық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меншік (шаруашылық жүргізу немесе жедел басқару) құқығында және (немесе) жалға алу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лицензиаттың он жылдан кем емес тиісті жұмыс тәжiрибесiнің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лицензиаттың он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сараптау жөніндегі сарапшыға: қала құрылысы, жобалау-сметалық құжаттаманың тиісті бөлімдері бойынша жоғары кәсіби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ғимараттар мен құрылыстардың сенімділігі мен орнықтылығын техникалық тексеру сарапшысына: құрылыс саласында жоғары кәсіби білімі және есептеу мен конструкциялау мамандығы бойынша жобалау қызметінде үш жылдан кем емес жұмыс тәжірибенің немесе осы бағытта бес жылдан кем емес сарапшы болып жұмыс істеу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қоршаған ортаға әсерді бағалау бойынша сараптау жөніндегі сарапшыға: тиісті бөлім бойынша жоғары кәсіби білімінің және бес жылдан кем емес жұмыс тәжірибесінің немесе жоғары кәсіби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халықтың санитарлық-эпидемиологиялық салауаттылығы саласындағы қала құрылысы, жобалау алдындағы және жобалау-сметалық құжаттаманы сараптау жөніндегі сарапшыға: санитарлық-эпидемиологиялық бейінді жоғарғы медициналық білімі және қала құрылысы, жобалау алдындағы және жобалау-сметалық құжаттаманың тиісті бөлімін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техникалық қадағалауды жүзеге асыратын заңды тұлғаларда аккредиттеу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технологиялық жабдық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екінші және үшінші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технологиялық жабдықтар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аккредиттеу туралы қолданыстағы куәлігі бар тұрақты негізде ғимараттар мен құрылыстардың сенімділігін және орнықтылығын техникалық зерттеп қарауды жүзеге асыратын, кемінде үш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тұрақты негізде конструктивтік мамандануы бойынша жобаларды сараптауды жүзеге асыратын кемінде бір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тұрақты негізде кемінде бір инженер-геодезистің (жұмыс тәжірибесі кемінде үш жыл)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құқығында немесе тартылған (шарт негізінде) аккредиттелген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қамтылымы бар дербес компьютерлердің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нормативтік-техникалық және әдіснамалық әдебиеттердің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берілген нұсқауларды орындамағаны немесе тиісінше орындамағаны жөнінде техникалық қадағалауды жүзеге асыратын тұлғалар ұсынған ақпарат бойынша әкімшілік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негізінде Қазақстан Республикасы заңнамасының талаптарын бұзудың, оларды жою адамның өмірі мен денсаулығына зиян келтіруге әкеп соқтыратын нақты фактілер бойынша құрылысқа қатысушыларға қатысты мемлекеттік сәулет-құрылыс бақылау және қадағалау органдарының жоспардан тыс тексерулерді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қатысушыларға қатысты мемлекеттік сәулет-құрылыс бақылау және қадағалау органдарының профилактикалық бақылау мен қадағалауды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нұсқамаларда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қаулыларда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хаттамаларда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субъктісіне (объект) барумен профилактилық бақылау мен қадағалау нәтижелері бойынша анықталған бұзушылықтарды жою туралы нұсқамалардың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бұрын берілген нұсқамалардың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пайдалануға қабылдау мақсаты үшін жер учаскесіне сәйкес құқықтың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сондай-ақ аумақты инженерлік жағынан дайындау, абаттандыру және көгалдандыру, құрылыстарды (объектілерді) консервациялау, қалалық маңызы бар объектілерді кейіннен кәдеге жарату жөніндегі жұмыстар кешенін жүргізу туралы шешімдер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 сараптамасының қорытындылары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жобалау құжаттамасына өзгерістер енгізу кезде келісулер мен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26 қыркүйегі № 496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 № 70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31қазандағы № 757</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Сәулет және қала құрылысы органдарына қатысты сәулет, қала құрылысы және құрылыс саласындағы тексеру парағы</w:t>
      </w:r>
    </w:p>
    <w:bookmarkEnd w:id="8"/>
    <w:p>
      <w:pPr>
        <w:spacing w:after="0"/>
        <w:ind w:left="0"/>
        <w:jc w:val="both"/>
      </w:pPr>
      <w:r>
        <w:rPr>
          <w:rFonts w:ascii="Times New Roman"/>
          <w:b w:val="false"/>
          <w:i w:val="false"/>
          <w:color w:val="000000"/>
          <w:sz w:val="28"/>
        </w:rPr>
        <w:t>
      Тексеруді тағайындаған мемлекеттік орган______________________________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w:t>
      </w:r>
    </w:p>
    <w:p>
      <w:pPr>
        <w:spacing w:after="0"/>
        <w:ind w:left="0"/>
        <w:jc w:val="both"/>
      </w:pPr>
      <w:r>
        <w:rPr>
          <w:rFonts w:ascii="Times New Roman"/>
          <w:b w:val="false"/>
          <w:i w:val="false"/>
          <w:color w:val="000000"/>
          <w:sz w:val="28"/>
        </w:rPr>
        <w:t>
      акт 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сызықтары және құрылыс салуды реттеу сызықтары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жобалар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26 қыркүйегі № 496</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 № 70</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bookmarkStart w:name="z14" w:id="9"/>
    <w:p>
      <w:pPr>
        <w:spacing w:after="0"/>
        <w:ind w:left="0"/>
        <w:jc w:val="left"/>
      </w:pPr>
      <w:r>
        <w:rPr>
          <w:rFonts w:ascii="Times New Roman"/>
          <w:b/>
          <w:i w:val="false"/>
          <w:color w:val="000000"/>
        </w:rPr>
        <w:t xml:space="preserve"> Құрылыс органдарына қатысты сәулет, қала құрылысы және құрылыс саласындағы тексеру парағы</w:t>
      </w:r>
    </w:p>
    <w:bookmarkEnd w:id="9"/>
    <w:p>
      <w:pPr>
        <w:spacing w:after="0"/>
        <w:ind w:left="0"/>
        <w:jc w:val="both"/>
      </w:pPr>
      <w:r>
        <w:rPr>
          <w:rFonts w:ascii="Times New Roman"/>
          <w:b w:val="false"/>
          <w:i w:val="false"/>
          <w:color w:val="000000"/>
          <w:sz w:val="28"/>
        </w:rPr>
        <w:t>
      Тексеруді тағайындаған мемлекеттік орган______________________________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пайдалануға қабылдау мақсаты үшін жер учаскесіне сәйкес құқықтың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сондай-ақ аумақты инженерлік жағынан дайындау, абаттандыру және көгалдандыру, құрылыстарды (объектілерді) консервациялау, қалалық маңызы бар объектілерді кейіннен кәдеге жарату жөніндегі жұмыстар кешенін жүргізу туралы шешімдер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 сараптамасының қорытындылары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 өзгерістер енгізу кезде келісулер мен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