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df0" w14:textId="784e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95 қаулысы. Қазақстан Республикасының Әділет министрлігінде 2020 жылғы 14 қазанда № 21434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95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w:t>
      </w:r>
    </w:p>
    <w:bookmarkEnd w:id="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-КЖ/ТҚҚ туралы заң) және "Бірыңғай жинақтаушы зейнетақы қорының, ерікті жинақтаушы зейнетақы қорларының тәуекелдерін басқару және ішкі бақылау жүйесін қалыптастыру қағидаларын бекіту туралы" Қазақстан Республикасы Қаржы нарығын реттеу және дамыту агенттігі Басқармасының 2023 жылғы 7 маусымдағы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32826 болып тіркелген)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23.09.2024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Талаптарда пайдаланылатын ұғымдар КЖ/ТҚҚ туралы pаңда және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көрсетілген мағыналарда қолданылады.</w:t>
      </w:r>
    </w:p>
    <w:bookmarkEnd w:id="11"/>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бірыңғай жинақтаушы зейнетақы қоры және ерікті жинақтаушы зейнетақы қорлары (бұдан әрі – қор) дербес әзірлеген күдікті операцияны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қордың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қордың қызметтерін алатын жеке тұлға, заңды тұлға;</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қаржыландыру тәуекелдері (бұдан әрі – КЖ/ТҚ тәуекелдері) – қорды қылмыстық жолмен алынған кірістерді заңдастыру (жылыстату), терроризмді қаржыландыру және жаппай қырып-жою қаруын қаржыландыру процестеріне қасақана немесе қасақана емес тарту тәуекелдері (бұдан әрі – КЖ/ТҚ);</w:t>
      </w:r>
    </w:p>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қордың клиентке зейнетақы жарналарын тарту және зейнетақы төлемдері жөніндегі қызметке жататын қызметтер ұсынуы бойынша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23.09.2024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және жаппай қырып-жою қаруын қаржыландыруға қарсы іс-қимыл (бұдан әрі – КЖ/ТҚҚ) мақсатында қор ішкі бақылауды:</w:t>
      </w:r>
    </w:p>
    <w:bookmarkEnd w:id="12"/>
    <w:p>
      <w:pPr>
        <w:spacing w:after="0"/>
        <w:ind w:left="0"/>
        <w:jc w:val="both"/>
      </w:pPr>
      <w:r>
        <w:rPr>
          <w:rFonts w:ascii="Times New Roman"/>
          <w:b w:val="false"/>
          <w:i w:val="false"/>
          <w:color w:val="000000"/>
          <w:sz w:val="28"/>
        </w:rPr>
        <w:t>
      1) қордың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қордың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қорды,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КЖ/ТҚҚ мақсатында ішкі бақылауды ұйымдастыру шеңберінде қордың басқару немесе атқарушы органы қордың ішкі аудит қызметінің КЖ/ТҚҚ мақсатында ішкі бақылаудың тиімділігін бағалауды жүргізуіне қойылатын талаптар кіретін ішкі бақылау қағидаларын әзірлейді және қабылдайды. </w:t>
      </w:r>
    </w:p>
    <w:bookmarkEnd w:id="13"/>
    <w:p>
      <w:pPr>
        <w:spacing w:after="0"/>
        <w:ind w:left="0"/>
        <w:jc w:val="both"/>
      </w:pPr>
      <w:r>
        <w:rPr>
          <w:rFonts w:ascii="Times New Roman"/>
          <w:b w:val="false"/>
          <w:i w:val="false"/>
          <w:color w:val="000000"/>
          <w:sz w:val="28"/>
        </w:rPr>
        <w:t>
      Қор ішкі бақылау қағидаларын қор қызметтерінің КЖ/ТҚ тәуекелдеріне ұшырау дәрежесін, мөлшерін, сипаты мен күрделілігін бағалау нәтижелерін ескере отырып орындайды.</w:t>
      </w:r>
    </w:p>
    <w:p>
      <w:pPr>
        <w:spacing w:after="0"/>
        <w:ind w:left="0"/>
        <w:jc w:val="both"/>
      </w:pPr>
      <w:r>
        <w:rPr>
          <w:rFonts w:ascii="Times New Roman"/>
          <w:b w:val="false"/>
          <w:i w:val="false"/>
          <w:color w:val="000000"/>
          <w:sz w:val="28"/>
        </w:rPr>
        <w:t>
      Ішкі бақылау қағидалары КЖ/ТҚҚ туралы заңның 11-бабында көзделген бағдарламалардан тұрады, қор оларды Талаптарға сәйкес дербес әзірлейді және олар қордың ішкі құжаты не қордың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17" w:id="15"/>
    <w:p>
      <w:pPr>
        <w:spacing w:after="0"/>
        <w:ind w:left="0"/>
        <w:jc w:val="both"/>
      </w:pPr>
      <w:r>
        <w:rPr>
          <w:rFonts w:ascii="Times New Roman"/>
          <w:b w:val="false"/>
          <w:i w:val="false"/>
          <w:color w:val="000000"/>
          <w:sz w:val="28"/>
        </w:rPr>
        <w:t xml:space="preserve">
      5. Қорда қордың ішкі құжаттарында белгіленген тәртіппен қордағы ішкі бақылау қағидаларының іске асырылуы және сақталуы үшін жауапты, қордың басшы қызметкерлерінің немесе қордың тиісті құрылымдық бөлімшесі басшысының деңгейінен төмен емес қордың өзге басшыларының қатарынан жоғары білімі, қордың қызметін ұсынуға байланысты бөлімше басшысының лауазымында кемінде бір жыл жұмыс өтілі не КЖ/ТҚҚ саласында кемінде екі жыл жұмыс өтілі не қаржылық көрсетілетін қызметтерді ұсыну және (немесе) реттеу саласында кемінде үш жыл жұмыс өтілі және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мінсіз іскерлік беделі бар лауазымды тұлға (бұдан әрі – жауапты қызметкер) тағайындалады, сондай-ақ құзыретіне КЖ/ТҚҚ мәселелері кіретін қор бөлімшесінің (бұдан әрі – КЖ/ТҚҚ жөніндегі бөлімше) қызметкерлері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23.09.2024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қызметкерлерінің, оның ішінде жауапты қызметкердің, қордың басқару органының және атқарушы органының өздеріне белгілі болған, қор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қорды (қордың бас ұйымын) бақылайтын заңды тұлға белгілеген КЖ/ТҚҚ жөніндегі талаптарды сипаттау (бар болса);</w:t>
      </w:r>
    </w:p>
    <w:p>
      <w:pPr>
        <w:spacing w:after="0"/>
        <w:ind w:left="0"/>
        <w:jc w:val="both"/>
      </w:pPr>
      <w:r>
        <w:rPr>
          <w:rFonts w:ascii="Times New Roman"/>
          <w:b w:val="false"/>
          <w:i w:val="false"/>
          <w:color w:val="000000"/>
          <w:sz w:val="28"/>
        </w:rPr>
        <w:t>
      6) КЖ/ТҚҚ мақсатында қордың ішкі аудит қызметінің ішкі бақылау тиімділігін бағалау нәтижелері бойынша басқарушылық есептілікті дайындау және қордың басқару органы мен атқарушы органына ұсыну, оның ішінде қаржылық топ (бар болса) шеңберінде шоғырландырылған негізде ұсыну тәртібі;</w:t>
      </w:r>
    </w:p>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қордың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қордың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9) қордың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және оларды төмендету жөнінде қосымша шаралар мен рәсімдер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әзірленген және қордың басқару органымен немесе атқарушы органымен келісілген ішкі бақылау қағидаларының және (немесе) оларға өзгерістердің (толықтырулардың), сондай-ақ қорда олардың сақталуына мониторингтің болуын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қордың ішкі құжаттарында көзделген тәртіппен уәкілетті органға хабарлар жіберу қажеттілігі туралы шешімдер қабылдау;</w:t>
      </w:r>
    </w:p>
    <w:p>
      <w:pPr>
        <w:spacing w:after="0"/>
        <w:ind w:left="0"/>
        <w:jc w:val="both"/>
      </w:pPr>
      <w:r>
        <w:rPr>
          <w:rFonts w:ascii="Times New Roman"/>
          <w:b w:val="false"/>
          <w:i w:val="false"/>
          <w:color w:val="000000"/>
          <w:sz w:val="28"/>
        </w:rPr>
        <w:t>
      4) уәкілетті органды анықталған клиенттер мен нысаналы қаржылық санкциялар қолдану бойынша қабылданған шаралар туралы хабардар ету;</w:t>
      </w:r>
    </w:p>
    <w:p>
      <w:pPr>
        <w:spacing w:after="0"/>
        <w:ind w:left="0"/>
        <w:jc w:val="both"/>
      </w:pPr>
      <w:r>
        <w:rPr>
          <w:rFonts w:ascii="Times New Roman"/>
          <w:b w:val="false"/>
          <w:i w:val="false"/>
          <w:color w:val="000000"/>
          <w:sz w:val="28"/>
        </w:rPr>
        <w:t>
      5) КЖ/ТҚҚ туралы заңда және (немесе) шарттарда көзделген жағдайларда және тәртіппен клиенттердің операциялар жүргізуден бас тарту туралы шешімдер қабылдау не келісу;</w:t>
      </w:r>
    </w:p>
    <w:p>
      <w:pPr>
        <w:spacing w:after="0"/>
        <w:ind w:left="0"/>
        <w:jc w:val="both"/>
      </w:pPr>
      <w:r>
        <w:rPr>
          <w:rFonts w:ascii="Times New Roman"/>
          <w:b w:val="false"/>
          <w:i w:val="false"/>
          <w:color w:val="000000"/>
          <w:sz w:val="28"/>
        </w:rPr>
        <w:t>
      6) қордың басқару органына және (немесе) атқарушы органына КЖ/ТҚҚ туралы заңда және (немесе) қордың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7) қордың басқару органын анықталған ішкі бақылау қағидаларын бұзушылықтар туралы қордың ішкі құжаттарында көзделген тәртіппен хабардар ету;</w:t>
      </w:r>
    </w:p>
    <w:p>
      <w:pPr>
        <w:spacing w:after="0"/>
        <w:ind w:left="0"/>
        <w:jc w:val="both"/>
      </w:pPr>
      <w:r>
        <w:rPr>
          <w:rFonts w:ascii="Times New Roman"/>
          <w:b w:val="false"/>
          <w:i w:val="false"/>
          <w:color w:val="000000"/>
          <w:sz w:val="28"/>
        </w:rPr>
        <w:t>
      8) қордың басқару органына есептерді қалыптастыру үшін КЖ/ТҚҚ мақсатында, оның ішінде қаржылық топ шеңберінде (бар болса) КЖ/ТҚҚ тәуекелдерін басқару жүйесін жақсарту бойынша ұсынылатын шаралар мен ішкі бақылау қағидаларын іске асыру нәтижелері туралы ақпаратты дайындау;</w:t>
      </w:r>
    </w:p>
    <w:p>
      <w:pPr>
        <w:spacing w:after="0"/>
        <w:ind w:left="0"/>
        <w:jc w:val="both"/>
      </w:pPr>
      <w:r>
        <w:rPr>
          <w:rFonts w:ascii="Times New Roman"/>
          <w:b w:val="false"/>
          <w:i w:val="false"/>
          <w:color w:val="000000"/>
          <w:sz w:val="28"/>
        </w:rPr>
        <w:t>
      9) қордың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сұратылып отырған ақпарат беру үшін сандық және сапалық көрсеткіштерді жинау бойынша жыл сайын, есепті жылдан кейінгі жылдың 5 ақпанынан кешіктірмей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Жауапты қызметкерге және КЖ/ТҚҚ жөніндегі бөлімше қызметкерлеріне жүктелген функцияларды орындау үшін мынадай:</w:t>
      </w:r>
    </w:p>
    <w:bookmarkEnd w:id="18"/>
    <w:p>
      <w:pPr>
        <w:spacing w:after="0"/>
        <w:ind w:left="0"/>
        <w:jc w:val="both"/>
      </w:pPr>
      <w:r>
        <w:rPr>
          <w:rFonts w:ascii="Times New Roman"/>
          <w:b w:val="false"/>
          <w:i w:val="false"/>
          <w:color w:val="000000"/>
          <w:sz w:val="28"/>
        </w:rPr>
        <w:t>
      1) өз функцияларын толық көлемде және қордың ішкі құжаттарында көзделген тәртіппен жүзеге асыруға мүмкіндік беретін шекте қордың барлық үй-жайларына, ақпараттық жүйелеріне, телекоммуникация құралдарына, құжаттар мен файлдарға кіруге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p>
      <w:pPr>
        <w:spacing w:after="0"/>
        <w:ind w:left="0"/>
        <w:jc w:val="both"/>
      </w:pPr>
      <w:r>
        <w:rPr>
          <w:rFonts w:ascii="Times New Roman"/>
          <w:b w:val="false"/>
          <w:i w:val="false"/>
          <w:color w:val="000000"/>
          <w:sz w:val="28"/>
        </w:rPr>
        <w:t>
      3) қордың бөлімшелерінен алынатын құжаттар мен файлдардың сақталуын қамтамасыз ету өкілеттіктер беріледі, бірақ олармен шектелмейді.</w:t>
      </w:r>
    </w:p>
    <w:bookmarkStart w:name="z21" w:id="19"/>
    <w:p>
      <w:pPr>
        <w:spacing w:after="0"/>
        <w:ind w:left="0"/>
        <w:jc w:val="both"/>
      </w:pPr>
      <w:r>
        <w:rPr>
          <w:rFonts w:ascii="Times New Roman"/>
          <w:b w:val="false"/>
          <w:i w:val="false"/>
          <w:color w:val="000000"/>
          <w:sz w:val="28"/>
        </w:rPr>
        <w:t xml:space="preserve">
      9. Қордың филиалдарында Талаптардың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19"/>
    <w:bookmarkStart w:name="z22" w:id="20"/>
    <w:p>
      <w:pPr>
        <w:spacing w:after="0"/>
        <w:ind w:left="0"/>
        <w:jc w:val="both"/>
      </w:pPr>
      <w:r>
        <w:rPr>
          <w:rFonts w:ascii="Times New Roman"/>
          <w:b w:val="false"/>
          <w:i w:val="false"/>
          <w:color w:val="000000"/>
          <w:sz w:val="28"/>
        </w:rPr>
        <w:t xml:space="preserve">
      10. Жауапты қызметкердің, КЖ/ТҚҚ жөніндегі бөлімше қызметкерлерінің, сондай-ақ қордың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функцияларымен, сондай-ақ қордың операциялық (ағымдағы) қызметін жүзеге асыратын бөлімшелердің функцияларымен қоса атқарылмайды. </w:t>
      </w:r>
    </w:p>
    <w:bookmarkEnd w:id="20"/>
    <w:bookmarkStart w:name="z23" w:id="21"/>
    <w:p>
      <w:pPr>
        <w:spacing w:after="0"/>
        <w:ind w:left="0"/>
        <w:jc w:val="both"/>
      </w:pPr>
      <w:r>
        <w:rPr>
          <w:rFonts w:ascii="Times New Roman"/>
          <w:b w:val="false"/>
          <w:i w:val="false"/>
          <w:color w:val="000000"/>
          <w:sz w:val="28"/>
        </w:rPr>
        <w:t>
      11. Қор КЖ/ТҚ мақсатында ішкі бақылау мәселелері бойынша процестерді автоматтандыру үшін қордың ішкі бақылау талаптарына сәйкес келетін автоматтандырылған ақпараттық жүйелерді пайдаланады.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 тарау. КЖ/ТҚ тәуекелдерін басқару бағдарламасы</w:t>
      </w:r>
    </w:p>
    <w:bookmarkEnd w:id="22"/>
    <w:bookmarkStart w:name="z25" w:id="23"/>
    <w:p>
      <w:pPr>
        <w:spacing w:after="0"/>
        <w:ind w:left="0"/>
        <w:jc w:val="both"/>
      </w:pPr>
      <w:r>
        <w:rPr>
          <w:rFonts w:ascii="Times New Roman"/>
          <w:b w:val="false"/>
          <w:i w:val="false"/>
          <w:color w:val="000000"/>
          <w:sz w:val="28"/>
        </w:rPr>
        <w:t>
      12. КЖ/ТҚ тәуекелдерін басқаруды ұйымдастыру мақсатында қор КЖ/ТҚ тәуекелдерін басқару бағдарламасын әзірлейді.</w:t>
      </w:r>
    </w:p>
    <w:bookmarkEnd w:id="23"/>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қаржы нарығы мен қаржы ұйымдарын реттеу, бақылау және қадағалау жөніндегі уәкілетті органның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КЖ/ТҚ тәуекелдерін басқару бағдарламасы мыналарды қамтиды, бірақ олармен шектелмейді:</w:t>
      </w:r>
    </w:p>
    <w:bookmarkEnd w:id="24"/>
    <w:p>
      <w:pPr>
        <w:spacing w:after="0"/>
        <w:ind w:left="0"/>
        <w:jc w:val="both"/>
      </w:pPr>
      <w:r>
        <w:rPr>
          <w:rFonts w:ascii="Times New Roman"/>
          <w:b w:val="false"/>
          <w:i w:val="false"/>
          <w:color w:val="000000"/>
          <w:sz w:val="28"/>
        </w:rPr>
        <w:t>
      1) қордың КЖ/ТҚ тәуекелдерін оның құрылымдық бөлімшелері бөлінісінде басқаруды ұйымдастыру тәртібі;</w:t>
      </w:r>
    </w:p>
    <w:p>
      <w:pPr>
        <w:spacing w:after="0"/>
        <w:ind w:left="0"/>
        <w:jc w:val="both"/>
      </w:pPr>
      <w:r>
        <w:rPr>
          <w:rFonts w:ascii="Times New Roman"/>
          <w:b w:val="false"/>
          <w:i w:val="false"/>
          <w:color w:val="000000"/>
          <w:sz w:val="28"/>
        </w:rPr>
        <w:t>
      2) клиент тәуекелінің деңгейіне;</w:t>
      </w:r>
    </w:p>
    <w:p>
      <w:pPr>
        <w:spacing w:after="0"/>
        <w:ind w:left="0"/>
        <w:jc w:val="both"/>
      </w:pPr>
      <w:r>
        <w:rPr>
          <w:rFonts w:ascii="Times New Roman"/>
          <w:b w:val="false"/>
          <w:i w:val="false"/>
          <w:color w:val="000000"/>
          <w:sz w:val="28"/>
        </w:rPr>
        <w:t>
      қор қызметтерінің (өнімдерінің) КЖ/ТҚ тәуекелдеріне ұшырағыштық дәрежесіне қатысты тәуекелдердің негізгі санаттарын (клиенттің типі, елдік тәуекел және қызметтер/өнімдер тәуекелі бойынша) ескере отырып, КЖ/ТҚ тәуекелдерін бағалау әдістемесі;</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қор өнімдерінің (қызметтерінің) КЖ/ТҚ тәуекелдеріне ұшырағыштық дәрежесін тұрақты мониторингтеуді,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 деңгейлерін қайта қарау үшін беру тәртібі, мерзімдері мен негіздері.</w:t>
      </w:r>
    </w:p>
    <w:bookmarkStart w:name="z27" w:id="25"/>
    <w:p>
      <w:pPr>
        <w:spacing w:after="0"/>
        <w:ind w:left="0"/>
        <w:jc w:val="both"/>
      </w:pPr>
      <w:r>
        <w:rPr>
          <w:rFonts w:ascii="Times New Roman"/>
          <w:b w:val="false"/>
          <w:i w:val="false"/>
          <w:color w:val="000000"/>
          <w:sz w:val="28"/>
        </w:rPr>
        <w:t>
      14. Қор жыл сайынғы негізде кем дегенде тәуекелдердің мынадай ерекше санаттарын: клиенттердің типі бойынша тәуекелді, елдік (географиялық) тәуекелді, қызмет (өнім) және (немесе) оны ұсыну тәсілінің тәуекелін ескере отырып, қор қызметтерінің (өнімдерінің) КЖ/ТҚ тәуекелдеріне ұшырағыштық дәрежесін бағалауды жүзеге асырады.</w:t>
      </w:r>
    </w:p>
    <w:bookmarkEnd w:id="25"/>
    <w:p>
      <w:pPr>
        <w:spacing w:after="0"/>
        <w:ind w:left="0"/>
        <w:jc w:val="both"/>
      </w:pPr>
      <w:r>
        <w:rPr>
          <w:rFonts w:ascii="Times New Roman"/>
          <w:b w:val="false"/>
          <w:i w:val="false"/>
          <w:color w:val="000000"/>
          <w:sz w:val="28"/>
        </w:rPr>
        <w:t>
      Қор қызметтерінің КЖ/ТҚ тәуекелдеріне ұшырағыштық дәрежесін бағалау клиенттердің операцияларын сәйкестендіру және мониторингтеу рәсімдерін өзгертуді, операцияларды жүргізуге лимиттерді белгілеуді, қызметтерді ұсыну шарттарын өзгертуді, қызметтерді ұсынудан бас тартуды қоса алғанда, анықталған тәуекелдерді барынша азайтуға бағытталған ықтимал іс-шараларды сипаттаумен қатар жүреді.</w:t>
      </w:r>
    </w:p>
    <w:bookmarkStart w:name="z28" w:id="26"/>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26"/>
    <w:p>
      <w:pPr>
        <w:spacing w:after="0"/>
        <w:ind w:left="0"/>
        <w:jc w:val="both"/>
      </w:pPr>
      <w:r>
        <w:rPr>
          <w:rFonts w:ascii="Times New Roman"/>
          <w:b w:val="false"/>
          <w:i w:val="false"/>
          <w:color w:val="000000"/>
          <w:sz w:val="28"/>
        </w:rPr>
        <w:t>
      1) жария лауазымды адам, олардың жұбайы (зайыбы) және жақын туыстары;</w:t>
      </w:r>
    </w:p>
    <w:p>
      <w:pPr>
        <w:spacing w:after="0"/>
        <w:ind w:left="0"/>
        <w:jc w:val="both"/>
      </w:pPr>
      <w:r>
        <w:rPr>
          <w:rFonts w:ascii="Times New Roman"/>
          <w:b w:val="false"/>
          <w:i w:val="false"/>
          <w:color w:val="000000"/>
          <w:sz w:val="28"/>
        </w:rPr>
        <w:t>
      2)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қызметтерден басқа) жеткізушілердің агенттері (сенім білдірілген өкілдері);</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7)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8) сақтандыру агенттері ретінде қызметті жүзеге асыратын тұлғалар;</w:t>
      </w:r>
    </w:p>
    <w:p>
      <w:pPr>
        <w:spacing w:after="0"/>
        <w:ind w:left="0"/>
        <w:jc w:val="both"/>
      </w:pPr>
      <w:r>
        <w:rPr>
          <w:rFonts w:ascii="Times New Roman"/>
          <w:b w:val="false"/>
          <w:i w:val="false"/>
          <w:color w:val="000000"/>
          <w:sz w:val="28"/>
        </w:rPr>
        <w:t>
      9)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10)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11)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12)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13) Талаптардың 16-тармағында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14) сенімхат бойынша олардың өкілдері атынан әрекет ететін зейнетақы төлемдерін алушылар.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16. Қор осы тармақта көрсетілген шет мемлекеттерден клиенттерге қызмет көрсетуге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27"/>
    <w:p>
      <w:pPr>
        <w:spacing w:after="0"/>
        <w:ind w:left="0"/>
        <w:jc w:val="both"/>
      </w:pPr>
      <w:r>
        <w:rPr>
          <w:rFonts w:ascii="Times New Roman"/>
          <w:b w:val="false"/>
          <w:i w:val="false"/>
          <w:color w:val="000000"/>
          <w:sz w:val="28"/>
        </w:rPr>
        <w:t>
      Мыналар өздерімен жасалатын операциялар КЖ/ТҚ тәуекелін ұлғайтатын шет мемлекеттер болып табылады:</w:t>
      </w:r>
    </w:p>
    <w:p>
      <w:pPr>
        <w:spacing w:after="0"/>
        <w:ind w:left="0"/>
        <w:jc w:val="both"/>
      </w:pPr>
      <w:r>
        <w:rPr>
          <w:rFonts w:ascii="Times New Roman"/>
          <w:b w:val="false"/>
          <w:i w:val="false"/>
          <w:color w:val="000000"/>
          <w:sz w:val="28"/>
        </w:rPr>
        <w:t xml:space="preserve">
      1) уәкілетті орган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Қазақстан Республикасы Қаржы нарығын реттеу және дамыту агенттігі Басқармасының "Банктік және сақтандыру қызметінің, бағалы қағаздар нарығына кәсіби қатысушылардың қызметінің және бағалы қағаздар нарығындағы қызметтің өзге де лицензияланатын түрлерінің, акционерлік инвестициялық қорлардың қызметінің және бағалы қағаздар рыногы ұйымдарының қызметінің мақсаттары үшін оффшорлық аймақтардың тізбесін белгілеу туралы" 2002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оффшорлық аймақтар тізбесіне енгізілген шет мемлекеттер (аумақтар) (нормативтік құқықтық актілерді мемлекеттік тіркеу тізілімінде № 20095 болып тіркелген);</w:t>
      </w:r>
    </w:p>
    <w:p>
      <w:pPr>
        <w:spacing w:after="0"/>
        <w:ind w:left="0"/>
        <w:jc w:val="both"/>
      </w:pPr>
      <w:r>
        <w:rPr>
          <w:rFonts w:ascii="Times New Roman"/>
          <w:b w:val="false"/>
          <w:i w:val="false"/>
          <w:color w:val="000000"/>
          <w:sz w:val="28"/>
        </w:rPr>
        <w:t>
      4) қор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негізінде КЖ/ТҚ жоғары тәуекелін көрсетуші ретінде анықтаған шет мемлекеттер (аумақтар) болып табылады.</w:t>
      </w:r>
    </w:p>
    <w:bookmarkStart w:name="z30" w:id="28"/>
    <w:p>
      <w:pPr>
        <w:spacing w:after="0"/>
        <w:ind w:left="0"/>
        <w:jc w:val="both"/>
      </w:pPr>
      <w:r>
        <w:rPr>
          <w:rFonts w:ascii="Times New Roman"/>
          <w:b w:val="false"/>
          <w:i w:val="false"/>
          <w:color w:val="000000"/>
          <w:sz w:val="28"/>
        </w:rPr>
        <w:t>
      17. Қордың КЖ/ТҚ тәуекелін арттыратын қызметтері, сондай-ақ оларды ұсыну тәсілдері мыналарды қамтиды, бірақ олармен шектелмейді:</w:t>
      </w:r>
    </w:p>
    <w:bookmarkEnd w:id="28"/>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қашықтықтан қызмет көрсету;</w:t>
      </w:r>
    </w:p>
    <w:p>
      <w:pPr>
        <w:spacing w:after="0"/>
        <w:ind w:left="0"/>
        <w:jc w:val="both"/>
      </w:pPr>
      <w:r>
        <w:rPr>
          <w:rFonts w:ascii="Times New Roman"/>
          <w:b w:val="false"/>
          <w:i w:val="false"/>
          <w:color w:val="000000"/>
          <w:sz w:val="28"/>
        </w:rPr>
        <w:t>
      2) ерікті зейнетақы жарналары есебінен зейнетақы жарналарын тарту және зейнетақы төлемдері жөніндегі қызметтер;</w:t>
      </w:r>
    </w:p>
    <w:p>
      <w:pPr>
        <w:spacing w:after="0"/>
        <w:ind w:left="0"/>
        <w:jc w:val="both"/>
      </w:pPr>
      <w:r>
        <w:rPr>
          <w:rFonts w:ascii="Times New Roman"/>
          <w:b w:val="false"/>
          <w:i w:val="false"/>
          <w:color w:val="000000"/>
          <w:sz w:val="28"/>
        </w:rPr>
        <w:t xml:space="preserve">
      3) қолданыстағы, сондай-ақ енгізілетін өнімдер үшін жаңа және дамушы технологияларды пайдалана отырып беру тетіктерін қамтитын жаңа өнімдер мен іскерлік тәжірибелер. </w:t>
      </w:r>
    </w:p>
    <w:bookmarkStart w:name="z31" w:id="29"/>
    <w:p>
      <w:pPr>
        <w:spacing w:after="0"/>
        <w:ind w:left="0"/>
        <w:jc w:val="both"/>
      </w:pPr>
      <w:r>
        <w:rPr>
          <w:rFonts w:ascii="Times New Roman"/>
          <w:b w:val="false"/>
          <w:i w:val="false"/>
          <w:color w:val="000000"/>
          <w:sz w:val="28"/>
        </w:rPr>
        <w:t xml:space="preserve">
      18. Қор қызметтерінің КЖ/ТҚ тәуекелдеріне ұшырағыштық дәрежесін бағалау кезінде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 санаттарына және факторларына сәйкес мыналарды қоса алғанда, бірақ олармен шектелмей, қор тәуекелдің қорытынды дәрежесіне әсер ететін қосымша мәліметтерді ескереді: </w:t>
      </w:r>
    </w:p>
    <w:bookmarkEnd w:id="29"/>
    <w:p>
      <w:pPr>
        <w:spacing w:after="0"/>
        <w:ind w:left="0"/>
        <w:jc w:val="both"/>
      </w:pPr>
      <w:r>
        <w:rPr>
          <w:rFonts w:ascii="Times New Roman"/>
          <w:b w:val="false"/>
          <w:i w:val="false"/>
          <w:color w:val="000000"/>
          <w:sz w:val="28"/>
        </w:rPr>
        <w:t>
      1) қордың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қордың уәкілетті органға клиенттердің шекті операциялары туралы жіберген хабарламаларының саны.</w:t>
      </w:r>
    </w:p>
    <w:bookmarkStart w:name="z32" w:id="30"/>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белгілейтін өзге де санаттар мен тәуекелдер факторларын ескере отырып, клиенттерді жіктеу жөнінде шаралар қабылдайды.</w:t>
      </w:r>
    </w:p>
    <w:bookmarkEnd w:id="30"/>
    <w:p>
      <w:pPr>
        <w:spacing w:after="0"/>
        <w:ind w:left="0"/>
        <w:jc w:val="both"/>
      </w:pPr>
      <w:r>
        <w:rPr>
          <w:rFonts w:ascii="Times New Roman"/>
          <w:b w:val="false"/>
          <w:i w:val="false"/>
          <w:color w:val="000000"/>
          <w:sz w:val="28"/>
        </w:rPr>
        <w:t>
      Қор клиенттің (клиенттер тобының) тәуекел деңгейін қорда бар клиент (клиенттер) туралы мәліметтер мен ақпаратты талдау нәтижелері бойынша белгілейді және кемінде екі деңгейден тұратын кор әзірлеген тәуекел деңгейін айқындау шкаласы бойынша бағаланады.</w:t>
      </w:r>
    </w:p>
    <w:p>
      <w:pPr>
        <w:spacing w:after="0"/>
        <w:ind w:left="0"/>
        <w:jc w:val="both"/>
      </w:pPr>
      <w:r>
        <w:rPr>
          <w:rFonts w:ascii="Times New Roman"/>
          <w:b w:val="false"/>
          <w:i w:val="false"/>
          <w:color w:val="000000"/>
          <w:sz w:val="28"/>
        </w:rPr>
        <w:t>
      Қор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33" w:id="31"/>
    <w:p>
      <w:pPr>
        <w:spacing w:after="0"/>
        <w:ind w:left="0"/>
        <w:jc w:val="both"/>
      </w:pPr>
      <w:r>
        <w:rPr>
          <w:rFonts w:ascii="Times New Roman"/>
          <w:b w:val="false"/>
          <w:i w:val="false"/>
          <w:color w:val="000000"/>
          <w:sz w:val="28"/>
        </w:rPr>
        <w:t xml:space="preserve">
      20.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 санаттары мен факторларын пайдалана отырып, тәуекелді бағалау клиенттерге (клиенттер топтарына) қатысты операциялар (іскерлік қатынастар) мониторингінің нәтижелері негізінде жүргізіледі.</w:t>
      </w:r>
    </w:p>
    <w:bookmarkEnd w:id="31"/>
    <w:p>
      <w:pPr>
        <w:spacing w:after="0"/>
        <w:ind w:left="0"/>
        <w:jc w:val="both"/>
      </w:pPr>
      <w:r>
        <w:rPr>
          <w:rFonts w:ascii="Times New Roman"/>
          <w:b w:val="false"/>
          <w:i w:val="false"/>
          <w:color w:val="000000"/>
          <w:sz w:val="28"/>
        </w:rPr>
        <w:t>
      Тәуекелді бағалау бұрын жүргізілмеген және (немесе) іскерлік қатынастар бұрын орнатылмаған клиенттер (клиенттер топтары) бойынша қор іскерлік қатынастар орнатылғанға дейін алынған деректер негізінде тәуекелді бастапқы бағалауды жүргізеді.</w:t>
      </w:r>
    </w:p>
    <w:bookmarkStart w:name="z34" w:id="32"/>
    <w:p>
      <w:pPr>
        <w:spacing w:after="0"/>
        <w:ind w:left="0"/>
        <w:jc w:val="both"/>
      </w:pPr>
      <w:r>
        <w:rPr>
          <w:rFonts w:ascii="Times New Roman"/>
          <w:b w:val="false"/>
          <w:i w:val="false"/>
          <w:color w:val="000000"/>
          <w:sz w:val="28"/>
        </w:rPr>
        <w:t xml:space="preserve">
      21. КЖ/ТҚ тәуекелдерін басқару бағдарламасын іске асыру кезінде қор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 есебінен жарияланған ақпаратты ескереді.</w:t>
      </w:r>
    </w:p>
    <w:bookmarkEnd w:id="32"/>
    <w:bookmarkStart w:name="z53" w:id="33"/>
    <w:p>
      <w:pPr>
        <w:spacing w:after="0"/>
        <w:ind w:left="0"/>
        <w:jc w:val="both"/>
      </w:pPr>
      <w:r>
        <w:rPr>
          <w:rFonts w:ascii="Times New Roman"/>
          <w:b w:val="false"/>
          <w:i w:val="false"/>
          <w:color w:val="000000"/>
          <w:sz w:val="28"/>
        </w:rPr>
        <w:t>
      21-1. Қор:</w:t>
      </w:r>
    </w:p>
    <w:bookmarkEnd w:id="33"/>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4-тарау. Клиенттерді сәйкестендіру бағдарламасы</w:t>
      </w:r>
    </w:p>
    <w:bookmarkEnd w:id="34"/>
    <w:bookmarkStart w:name="z36" w:id="35"/>
    <w:p>
      <w:pPr>
        <w:spacing w:after="0"/>
        <w:ind w:left="0"/>
        <w:jc w:val="both"/>
      </w:pPr>
      <w:r>
        <w:rPr>
          <w:rFonts w:ascii="Times New Roman"/>
          <w:b w:val="false"/>
          <w:i w:val="false"/>
          <w:color w:val="000000"/>
          <w:sz w:val="28"/>
        </w:rPr>
        <w:t xml:space="preserve">
      22.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клиенттерді (олардың өкілдерін) және бенефициарлық меншік иелерін сәйкестендіру бағдарламасын әзірлейді.</w:t>
      </w:r>
    </w:p>
    <w:bookmarkEnd w:id="35"/>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қордың зейнетақы жарналары салымшысы (оның өкілі), зейнетақы төлемдерін алушы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зейнетақы жарналары салымшысы, зейнетақы төлемдерін алушы және олардың өкілдері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жөніндегі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осындай зейнетақы төлемдерін алушыға да қатысты жүргізеді.</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Заңды тұлға-клиенттің жарғылық капиталына қатысу үлесінің не орналастырылған (артықшылықты және қоғам сатып алған акцияларды есептемегенде) акцияларының жиырма бес пайызынан астамы тікелей немесе жанама түрде тиесілі жеке тұлғаның бенефициарлық меншік иесі болып табылатынына күмән келтіру үшін негіздер болған жағдайда, заңды тұлға-клиентке өзгеше түрде бақылауды жүзеге асыратын не оның мүддесіне клиент-заңды тұлға ақшамен және (немесе) өзге мүлікпен операциялар жасайды жеке тұлғаның бенефициарлық меншік иесі болып танылуына жол беріледі.</w:t>
      </w:r>
    </w:p>
    <w:p>
      <w:pPr>
        <w:spacing w:after="0"/>
        <w:ind w:left="0"/>
        <w:jc w:val="both"/>
      </w:pPr>
      <w:r>
        <w:rPr>
          <w:rFonts w:ascii="Times New Roman"/>
          <w:b w:val="false"/>
          <w:i w:val="false"/>
          <w:color w:val="000000"/>
          <w:sz w:val="28"/>
        </w:rPr>
        <w:t>
      Егер шаралар қабылдау нәтижесінде заңды тұлға-клиенттің бенефициарлық меншік иесі анықталмаған жағдайда, бенефициарлық меншік иесі ретінде жеке дара атқарушы органды не заңды тұлға-клиенттің алқалы атқарушы органының басшысын тануға рұқсат етіледі.</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22-1. КЖ/ТҚҚ туралы заңның 5-бабы 2, 3-1-тармақтарының және 7-бабы 1-тармағының талаптарын ескере отырып, қор:</w:t>
      </w:r>
    </w:p>
    <w:bookmarkEnd w:id="36"/>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p>
      <w:pPr>
        <w:spacing w:after="0"/>
        <w:ind w:left="0"/>
        <w:jc w:val="both"/>
      </w:pPr>
      <w:r>
        <w:rPr>
          <w:rFonts w:ascii="Times New Roman"/>
          <w:b w:val="false"/>
          <w:i w:val="false"/>
          <w:color w:val="000000"/>
          <w:sz w:val="28"/>
        </w:rPr>
        <w:t>
      4) клиент ерекше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p>
      <w:pPr>
        <w:spacing w:after="0"/>
        <w:ind w:left="0"/>
        <w:jc w:val="both"/>
      </w:pPr>
      <w:r>
        <w:rPr>
          <w:rFonts w:ascii="Times New Roman"/>
          <w:b w:val="false"/>
          <w:i w:val="false"/>
          <w:color w:val="000000"/>
          <w:sz w:val="28"/>
        </w:rPr>
        <w:t xml:space="preserve">
      Клиент (оның өкілі), бенефициарлық меншік иесі туралы бұрын алынған мәліметтердің дәйектілігіне күмән келтіру үшін негіз болған жағдайда, клиент (оның өкілі) және бенефициарлық меншік иесі туралы мәліметтерді жаңарту қаржы мониторингі субъектісі мұндай күмәннің болуы туралы шешім қабылдаған күннен кейінгі 15 (он бес) жұмыс күні ішінде жүзеге асырылады. </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23.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ескерумен қор клиентті (оның өкілін) және бенефициарлық меншік иесін іскерлік қатынастар орнатқанға дейін сәйкестендіру жүргізеді.</w:t>
      </w:r>
    </w:p>
    <w:bookmarkEnd w:id="37"/>
    <w:bookmarkStart w:name="z38" w:id="38"/>
    <w:p>
      <w:pPr>
        <w:spacing w:after="0"/>
        <w:ind w:left="0"/>
        <w:jc w:val="both"/>
      </w:pPr>
      <w:r>
        <w:rPr>
          <w:rFonts w:ascii="Times New Roman"/>
          <w:b w:val="false"/>
          <w:i w:val="false"/>
          <w:color w:val="000000"/>
          <w:sz w:val="28"/>
        </w:rPr>
        <w:t>
      24. Талаптардың 22-1 және 23-тармақтарына сәйкес алынған мәліметтерді қор клиенттің досьесіне енгізеді, ол қорда клиентпен іскерлік қатынастардың барлық кезеңі ішінде және олар тоқтатылған күннен бастап кемінде 5 (бес) жыл сақталады.</w:t>
      </w:r>
    </w:p>
    <w:bookmarkEnd w:id="38"/>
    <w:p>
      <w:pPr>
        <w:spacing w:after="0"/>
        <w:ind w:left="0"/>
        <w:jc w:val="both"/>
      </w:pPr>
      <w:r>
        <w:rPr>
          <w:rFonts w:ascii="Times New Roman"/>
          <w:b w:val="false"/>
          <w:i w:val="false"/>
          <w:color w:val="000000"/>
          <w:sz w:val="28"/>
        </w:rPr>
        <w:t>
      Қор ішкі құжаттарға сәйкес досье жүргізетін клиенттердің топтары мыналарды қамтиды, бірақ олармен шектелмейді: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Қор КЖ/ТҚҚ туралы заңның 5-бабы 6-тармағының 1) тармақшасын қолданған кезде қор клиенттің досьесіне енгізу (қосу) үшін клиенттерін тиісінше тексеру шараларына қор сүйенетін басқа қаржы мониторингі субъектілерінен клиент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Шетелдік қаржы ұйымы қабылдаған клиенттерді (олардың өкілдерін) және бенефициарлық меншік иелерін тиісінше тексеру шараларына сүйенетін қор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5-бабының талаптарына ұқсас тиісінше тексеру шараларын қолданатынын,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Қаржы тобының қатысушысы болып табылатын қор қажет болған жағдайда КЖ/ТҚҚ туралы заңның 5-бабының 6-1-тармағында белгіленген талаптар сақталған жағдайда осындай топтың басқа қатысушылары тиісті клиенттерге (олардың өкілдеріне) және бенефициарлық меншік иелеріне қатысты КЖ/ТҚҚ туралы заңның 5-бабының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процесінде қор Тізбеде және ЖҚҚТҚ тізбесінде осындай клиенттің (оның өкілінің) және бенефициарлық меншік иесінің болуына тексеру жүргізеді.</w:t>
      </w:r>
    </w:p>
    <w:bookmarkEnd w:id="39"/>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Қор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лауазымды тұлғаларға және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Қор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қордың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осындай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шараларды тұрақты негізде қабылдайды.</w:t>
      </w:r>
    </w:p>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КЖ/ТҚҚ туралы заңның 5-бабының 3-тармағында көзделген шаралардан басқа, осы тармақтың төртінші бөлігінің 1), 2), 3) және 4) тармақшаларында белгіленген шараларды қосымша қолданады.</w:t>
      </w:r>
    </w:p>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p>
      <w:pPr>
        <w:spacing w:after="0"/>
        <w:ind w:left="0"/>
        <w:jc w:val="both"/>
      </w:pPr>
      <w:r>
        <w:rPr>
          <w:rFonts w:ascii="Times New Roman"/>
          <w:b w:val="false"/>
          <w:i w:val="false"/>
          <w:color w:val="000000"/>
          <w:sz w:val="28"/>
        </w:rPr>
        <w:t>
      Қор жеке тұлғаны (заңды тұлғаның басшысын, құрылтайшыларын (қатысушыларын),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туған күні мен жері; </w:t>
      </w:r>
    </w:p>
    <w:p>
      <w:pPr>
        <w:spacing w:after="0"/>
        <w:ind w:left="0"/>
        <w:jc w:val="both"/>
      </w:pPr>
      <w:r>
        <w:rPr>
          <w:rFonts w:ascii="Times New Roman"/>
          <w:b w:val="false"/>
          <w:i w:val="false"/>
          <w:color w:val="000000"/>
          <w:sz w:val="28"/>
        </w:rPr>
        <w:t xml:space="preserve">
      бенефициарлық меншік иесінің мекенжайын қоспағанда, заңды мекенжайы; </w:t>
      </w:r>
    </w:p>
    <w:p>
      <w:pPr>
        <w:spacing w:after="0"/>
        <w:ind w:left="0"/>
        <w:jc w:val="both"/>
      </w:pPr>
      <w:r>
        <w:rPr>
          <w:rFonts w:ascii="Times New Roman"/>
          <w:b w:val="false"/>
          <w:i w:val="false"/>
          <w:color w:val="000000"/>
          <w:sz w:val="28"/>
        </w:rPr>
        <w:t>
      жеке басын куәландыратын құжаттың және (немесе) негізінде сәйкестендіру жүргізілетін өзге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қызмет түрі (дара кәсіпкерлер үшін).</w:t>
      </w:r>
    </w:p>
    <w:p>
      <w:pPr>
        <w:spacing w:after="0"/>
        <w:ind w:left="0"/>
        <w:jc w:val="both"/>
      </w:pPr>
      <w:r>
        <w:rPr>
          <w:rFonts w:ascii="Times New Roman"/>
          <w:b w:val="false"/>
          <w:i w:val="false"/>
          <w:color w:val="000000"/>
          <w:sz w:val="28"/>
        </w:rPr>
        <w:t>
      Қор заңды тұлға-клиентті (заңды тұлға-клиенттің құрылтайшыларын (қатысушыларын)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мемлекеттік тіркеу нөмірі және тіркелген күні, тіркеуші органның атауы (олар болған кезде);</w:t>
      </w:r>
    </w:p>
    <w:p>
      <w:pPr>
        <w:spacing w:after="0"/>
        <w:ind w:left="0"/>
        <w:jc w:val="both"/>
      </w:pPr>
      <w:r>
        <w:rPr>
          <w:rFonts w:ascii="Times New Roman"/>
          <w:b w:val="false"/>
          <w:i w:val="false"/>
          <w:color w:val="000000"/>
          <w:sz w:val="28"/>
        </w:rPr>
        <w:t xml:space="preserve">
      орналасқан және тіркелген жері; </w:t>
      </w:r>
    </w:p>
    <w:p>
      <w:pPr>
        <w:spacing w:after="0"/>
        <w:ind w:left="0"/>
        <w:jc w:val="both"/>
      </w:pPr>
      <w:r>
        <w:rPr>
          <w:rFonts w:ascii="Times New Roman"/>
          <w:b w:val="false"/>
          <w:i w:val="false"/>
          <w:color w:val="000000"/>
          <w:sz w:val="28"/>
        </w:rPr>
        <w:t xml:space="preserve">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 </w:t>
      </w:r>
    </w:p>
    <w:p>
      <w:pPr>
        <w:spacing w:after="0"/>
        <w:ind w:left="0"/>
        <w:jc w:val="both"/>
      </w:pPr>
      <w:r>
        <w:rPr>
          <w:rFonts w:ascii="Times New Roman"/>
          <w:b w:val="false"/>
          <w:i w:val="false"/>
          <w:color w:val="000000"/>
          <w:sz w:val="28"/>
        </w:rPr>
        <w:t>
      басшы (заңды тұлға-клиенттің атынан әрекет етуге уәкілетті өзге тұлға), қаржылық құжаттарға қол қою құқығы бар тұлға туралы деректер</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бенефициарлық меншік иесі туралы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26. Клиент (оның өкілі) клиент (оның өкілі) және бенефициарлық меншік иесі туралы мәліметтерді растау мақсатында ұсынылатын құжаттар олардың түпнұсқалығына тексеріледі.</w:t>
      </w:r>
    </w:p>
    <w:bookmarkEnd w:id="40"/>
    <w:bookmarkStart w:name="z41" w:id="41"/>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бағдарламасына мыналар кіреді, бірақ олармен шектелмейді:</w:t>
      </w:r>
    </w:p>
    <w:bookmarkEnd w:id="41"/>
    <w:p>
      <w:pPr>
        <w:spacing w:after="0"/>
        <w:ind w:left="0"/>
        <w:jc w:val="both"/>
      </w:pPr>
      <w:r>
        <w:rPr>
          <w:rFonts w:ascii="Times New Roman"/>
          <w:b w:val="false"/>
          <w:i w:val="false"/>
          <w:color w:val="000000"/>
          <w:sz w:val="28"/>
        </w:rPr>
        <w:t>
      1) қордың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тексерудің жеңілдетілген және күшейтілген шаралары;</w:t>
      </w:r>
    </w:p>
    <w:p>
      <w:pPr>
        <w:spacing w:after="0"/>
        <w:ind w:left="0"/>
        <w:jc w:val="both"/>
      </w:pPr>
      <w:r>
        <w:rPr>
          <w:rFonts w:ascii="Times New Roman"/>
          <w:b w:val="false"/>
          <w:i w:val="false"/>
          <w:color w:val="000000"/>
          <w:sz w:val="28"/>
        </w:rPr>
        <w:t>
      3) қордың клиенттер (олардың өкілдері) арасынан қызмет көрсетілетін немесе қызмет көрсетуге қабылданатын жария лауазымды тұлғаларды, олардың жұбайларын (зайыптарын)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іс-қимыл жасау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тәртіпте клиенттердің бенефициарлық меншік иелері туралы мәліметтерді қордың сұрау салуы бойынша алу және ұсыну тәртібі.</w:t>
      </w:r>
    </w:p>
    <w:p>
      <w:pPr>
        <w:spacing w:after="0"/>
        <w:ind w:left="0"/>
        <w:jc w:val="both"/>
      </w:pPr>
      <w:r>
        <w:rPr>
          <w:rFonts w:ascii="Times New Roman"/>
          <w:b w:val="false"/>
          <w:i w:val="false"/>
          <w:color w:val="000000"/>
          <w:sz w:val="28"/>
        </w:rPr>
        <w:t>
      Егер қор КЖ/ТҚҚ туралы заңға сәйкес шарт негізінде өзге тұлғаға клиенттерге қатысты КЖ/ТҚҚ туралы заңның 5-бабы 3-тармағының 1), 2), 2-1), 2-2) және 4) тармақшаларында көзделген шараларды қолдануды тапсырса, қор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қордың сәйкестендіру жүргізу тапсырылған тұлғалармен шарттар жасасу рәсімін, сондай-ақ мұндай шарттар жасасуға уәкілетті қордың лауазымды тұлғаларының тізбесін;</w:t>
      </w:r>
    </w:p>
    <w:p>
      <w:pPr>
        <w:spacing w:after="0"/>
        <w:ind w:left="0"/>
        <w:jc w:val="both"/>
      </w:pPr>
      <w:r>
        <w:rPr>
          <w:rFonts w:ascii="Times New Roman"/>
          <w:b w:val="false"/>
          <w:i w:val="false"/>
          <w:color w:val="000000"/>
          <w:sz w:val="28"/>
        </w:rPr>
        <w:t>
      қор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клиентті (оның өкілін) және бенефициарлық меншік иесін сәйкестендіруді жүргізу кезінде алынған мәліметтерді қорға беру рәсімі мен мерзімдерін;</w:t>
      </w:r>
    </w:p>
    <w:p>
      <w:pPr>
        <w:spacing w:after="0"/>
        <w:ind w:left="0"/>
        <w:jc w:val="both"/>
      </w:pPr>
      <w:r>
        <w:rPr>
          <w:rFonts w:ascii="Times New Roman"/>
          <w:b w:val="false"/>
          <w:i w:val="false"/>
          <w:color w:val="000000"/>
          <w:sz w:val="28"/>
        </w:rPr>
        <w:t>
      қорға алынған мәліметтерді беру рәсімін, мерзімдері мен толықтығын, сондай-ақ анықталған бұзушылықтарды жою бойынша қор қабылдайтын шараларды қоса алғанда,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қордың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қорға беру мерзімдері мен толықтығын сақтамаған жағдайда, қордың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қордың лауазымды тұлғаларының тізбесін;</w:t>
      </w:r>
    </w:p>
    <w:p>
      <w:pPr>
        <w:spacing w:after="0"/>
        <w:ind w:left="0"/>
        <w:jc w:val="both"/>
      </w:pPr>
      <w:r>
        <w:rPr>
          <w:rFonts w:ascii="Times New Roman"/>
          <w:b w:val="false"/>
          <w:i w:val="false"/>
          <w:color w:val="000000"/>
          <w:sz w:val="28"/>
        </w:rPr>
        <w:t>
      қор сәйкестендіру жүргізуді тапсырған тұлғалардың клиентті (оның өкілін) және бенефициарлық меншік иесін сәйкестендіру жөніндегі талаптарды сақтамағаны үшін, алынған мәліметтерді қорға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қордың сәйкестендіру талаптарын орындау мақсатында оларға әдіснамалық көмек көрсету мәселелері бойынша клиентті (оның өкілін) және бенефициар меншік иесін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Қорға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Шетелдік қаржы ұйымы шартының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қор қылмыстық жолмен алынған кірістерді заңдастырудың (жылыстатудың) ықтимал тәуекелдерін ескереді және терроризмді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27-1.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мекенжайға баруды қоса алғанда, мәліметтерді басқа да тәсілдермен тексеру арқылы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27-2. Қаржы мониторингінің басқа субъектісі немесе шетелдік қаржы ұйымы Ақшаны жылыстатумен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болған жағдайда, Қор КЖ/ТҚҚ туралы заңның 5-бабының 6, 6-1 және 8-тармақтарында көзделген әрекеттерді жасамайды.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27-2-тармақпен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4"/>
    <w:p>
      <w:pPr>
        <w:spacing w:after="0"/>
        <w:ind w:left="0"/>
        <w:jc w:val="left"/>
      </w:pPr>
      <w:r>
        <w:rPr>
          <w:rFonts w:ascii="Times New Roman"/>
          <w:b/>
          <w:i w:val="false"/>
          <w:color w:val="000000"/>
        </w:rPr>
        <w:t xml:space="preserve"> 5-бөлім. Клиенттер операцияларының мониторингі және оны зерделеу бағдарламасы</w:t>
      </w:r>
    </w:p>
    <w:bookmarkEnd w:id="44"/>
    <w:bookmarkStart w:name="z43" w:id="45"/>
    <w:p>
      <w:pPr>
        <w:spacing w:after="0"/>
        <w:ind w:left="0"/>
        <w:jc w:val="both"/>
      </w:pPr>
      <w:r>
        <w:rPr>
          <w:rFonts w:ascii="Times New Roman"/>
          <w:b w:val="false"/>
          <w:i w:val="false"/>
          <w:color w:val="000000"/>
          <w:sz w:val="28"/>
        </w:rPr>
        <w:t>
      28. КЖ/ТҚҚ туралы заңның клиентті тиісінше тексеру бойынша, сондай-ақ шекті және күдікті операцияларды анықтау және уәкілетті органға жіберу бойынша талаптарды іске асыру мақсатында қор клиенттер операцияларының мониторингі және оны зерделеу бағдарламасын әзірлейді.</w:t>
      </w:r>
    </w:p>
    <w:bookmarkEnd w:id="45"/>
    <w:bookmarkStart w:name="z44" w:id="46"/>
    <w:p>
      <w:pPr>
        <w:spacing w:after="0"/>
        <w:ind w:left="0"/>
        <w:jc w:val="both"/>
      </w:pPr>
      <w:r>
        <w:rPr>
          <w:rFonts w:ascii="Times New Roman"/>
          <w:b w:val="false"/>
          <w:i w:val="false"/>
          <w:color w:val="000000"/>
          <w:sz w:val="28"/>
        </w:rPr>
        <w:t>
      29. Клиенттер операцияларының мониторингі және оны зерделеу бағдарламасы аясында қор клиенттер (олардың өкілдері) және бенефициарлық меншік иелері туралы қосымша мәліметтерді алу және (немесе) жаңарту бойынша, сондай-ақ клиенттерді зерделеу және шекті, күрделі, әдеттегіден тыс және күдікті операцияларды анықтау бойынша іс-шаралар жүргізеді.</w:t>
      </w:r>
    </w:p>
    <w:bookmarkEnd w:id="46"/>
    <w:p>
      <w:pPr>
        <w:spacing w:after="0"/>
        <w:ind w:left="0"/>
        <w:jc w:val="both"/>
      </w:pPr>
      <w:r>
        <w:rPr>
          <w:rFonts w:ascii="Times New Roman"/>
          <w:b w:val="false"/>
          <w:i w:val="false"/>
          <w:color w:val="000000"/>
          <w:sz w:val="28"/>
        </w:rPr>
        <w:t>
      Қор клиенттер операцияларының мониторингін және оларды зерделеу нәтижелерін қор қызметтерінің КЖ/ТҚ тәуекелдеріне бейімділігі дәрежесін жыл сайын бағалау,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xml:space="preserve">
      Клиенттер операцияларының мониторингі және оны зерттеп-зерделеу бағдарламасы аясында алынған мәліметтер Талаптардың </w:t>
      </w:r>
      <w:r>
        <w:rPr>
          <w:rFonts w:ascii="Times New Roman"/>
          <w:b w:val="false"/>
          <w:i w:val="false"/>
          <w:color w:val="000000"/>
          <w:sz w:val="28"/>
        </w:rPr>
        <w:t>24 тармағында</w:t>
      </w:r>
      <w:r>
        <w:rPr>
          <w:rFonts w:ascii="Times New Roman"/>
          <w:b w:val="false"/>
          <w:i w:val="false"/>
          <w:color w:val="000000"/>
          <w:sz w:val="28"/>
        </w:rPr>
        <w:t xml:space="preserve"> көзделген клиенттің досьесіне енгізіледі және (немесе) клиенттермен іскерлік қатынастардың бүкіл кезеңі бойында және олар тоқтатылған күннен бастап кемінде бес жыл қорда сақталады. </w:t>
      </w:r>
    </w:p>
    <w:bookmarkStart w:name="z45" w:id="47"/>
    <w:p>
      <w:pPr>
        <w:spacing w:after="0"/>
        <w:ind w:left="0"/>
        <w:jc w:val="both"/>
      </w:pPr>
      <w:r>
        <w:rPr>
          <w:rFonts w:ascii="Times New Roman"/>
          <w:b w:val="false"/>
          <w:i w:val="false"/>
          <w:color w:val="000000"/>
          <w:sz w:val="28"/>
        </w:rPr>
        <w:t>
      30. Клиент (оның өкілі) және бенефициарлық меншік иесі туралы қосымша мәліметтерді алу және (немесе) жаңарту кезеңділігін қор клиенттің (клиенттер тобының) тәуекел деңгейін және (немесе) клиент пайдаланатын қор қызметтерінің КЖ/ТҚ тәуекелдеріне бейімділігі дәрежесін ескерумен белгілейді.</w:t>
      </w:r>
    </w:p>
    <w:bookmarkEnd w:id="47"/>
    <w:p>
      <w:pPr>
        <w:spacing w:after="0"/>
        <w:ind w:left="0"/>
        <w:jc w:val="both"/>
      </w:pPr>
      <w:r>
        <w:rPr>
          <w:rFonts w:ascii="Times New Roman"/>
          <w:b w:val="false"/>
          <w:i w:val="false"/>
          <w:color w:val="000000"/>
          <w:sz w:val="28"/>
        </w:rPr>
        <w:t xml:space="preserve">
      Тәуекел деңгейі жоғары клиент (оның өкілі) және бенефициарлық меншік иесі туралы мәліметтерді жаңарту жылына кемінде бір рет жүзеге асырылады. </w:t>
      </w:r>
    </w:p>
    <w:bookmarkStart w:name="z46" w:id="48"/>
    <w:p>
      <w:pPr>
        <w:spacing w:after="0"/>
        <w:ind w:left="0"/>
        <w:jc w:val="both"/>
      </w:pPr>
      <w:r>
        <w:rPr>
          <w:rFonts w:ascii="Times New Roman"/>
          <w:b w:val="false"/>
          <w:i w:val="false"/>
          <w:color w:val="000000"/>
          <w:sz w:val="28"/>
        </w:rPr>
        <w:t>
      31. Клиенттің операцияларын зерделеу дәрежесін қор клиенттің (клиенттер тобының) тәуекел деңгейін ескере отырып, сондай-ақ қордың қолда бар КЖ/ТҚ сценарийлерін (схемаларын) және (немесе) күрделі, ерекше, күдікті операциялардың белгілерін ескере отырып айқындайды.</w:t>
      </w:r>
    </w:p>
    <w:bookmarkEnd w:id="48"/>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қор клиент белгілі бір уақыт кезеңінде, бірақ кемінде соңғы айда жүргізетін (жүргізген) операцияларды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32. Клиенттер операцияларының мониторингі және оны зерделеу бағдарламасы мыналарды қамтиды, бірақ олармен шектелмейді:</w:t>
      </w:r>
    </w:p>
    <w:bookmarkEnd w:id="49"/>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күдікті операцияларды анықтау белгілерінің негізінде жасалған, сондай-ақ қор дербес әзірлеген күдікті операциялар белгілерінің тізбесі;</w:t>
      </w:r>
    </w:p>
    <w:p>
      <w:pPr>
        <w:spacing w:after="0"/>
        <w:ind w:left="0"/>
        <w:jc w:val="both"/>
      </w:pPr>
      <w:r>
        <w:rPr>
          <w:rFonts w:ascii="Times New Roman"/>
          <w:b w:val="false"/>
          <w:i w:val="false"/>
          <w:color w:val="000000"/>
          <w:sz w:val="28"/>
        </w:rPr>
        <w:t xml:space="preserve">
      2) қор бөлімшелерінің (қызметкерлерінің) арасында клиент (оның өкілі) және бенефициарлық меншік иесі туралы бұрын алынған мәліметтерді жаңарту және (немесе) қосымша мәліметтер алу бойынша міндеттерді Талаптарда көзделген жағдайларда бөлу; </w:t>
      </w:r>
    </w:p>
    <w:p>
      <w:pPr>
        <w:spacing w:after="0"/>
        <w:ind w:left="0"/>
        <w:jc w:val="both"/>
      </w:pPr>
      <w:r>
        <w:rPr>
          <w:rFonts w:ascii="Times New Roman"/>
          <w:b w:val="false"/>
          <w:i w:val="false"/>
          <w:color w:val="000000"/>
          <w:sz w:val="28"/>
        </w:rPr>
        <w:t>
      3) қор бөлімшелерінің (қызметкерлерінің) арасында шекті, күрделі, әдеттегіден тыс, күдікті операцияларды анықтау бойынша міндеттерді бөлу және бөлімшелер (қызметкерлер) арасында беру;</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күрделі, әдеттегіден тыс операцияларды зерделеу нәтижелері туралы мәліметтерді, сондай-ақ шекті және күдікті операциялар (оның ішінде, операцияның сомасы) туралы мәліметтерді тіркеу (оның ішінде тіркеу тәсілдері) тәртібі;</w:t>
      </w:r>
    </w:p>
    <w:p>
      <w:pPr>
        <w:spacing w:after="0"/>
        <w:ind w:left="0"/>
        <w:jc w:val="both"/>
      </w:pPr>
      <w:r>
        <w:rPr>
          <w:rFonts w:ascii="Times New Roman"/>
          <w:b w:val="false"/>
          <w:i w:val="false"/>
          <w:color w:val="000000"/>
          <w:sz w:val="28"/>
        </w:rPr>
        <w:t>
      6) клиент жүйелі түрде және (немесе) айтарлықтай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қордың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33. Операцияны шекті ретінде жіктеудің заңдылығы бөлігінде күмән туындаған, сондай-ақ әдеттегіден тыс немесе күдікті операция анықталған жағдайда, көрсетілген операцияны анықтаған қор қызметкері қордың ішкі құжаттарында белгіленген тәртіпте, нысанда және мерзімде жауапты қызметкерге (КЖ/ТҚК жөніндегі бөлімшеге) мұндай операция туралы хабарлама жолдайды.</w:t>
      </w:r>
    </w:p>
    <w:bookmarkEnd w:id="50"/>
    <w:p>
      <w:pPr>
        <w:spacing w:after="0"/>
        <w:ind w:left="0"/>
        <w:jc w:val="both"/>
      </w:pPr>
      <w:r>
        <w:rPr>
          <w:rFonts w:ascii="Times New Roman"/>
          <w:b w:val="false"/>
          <w:i w:val="false"/>
          <w:color w:val="000000"/>
          <w:sz w:val="28"/>
        </w:rPr>
        <w:t>
      Бір хабарламада бірнеше операция туралы ақпарат болады.</w:t>
      </w:r>
    </w:p>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 сондай-ақ оларды зерделеу нәтижелерін қор клиентпен іскерлік қатынастар тоқтатылған күннен бастап кемінде бес жыл сақтайды.</w:t>
      </w:r>
    </w:p>
    <w:bookmarkStart w:name="z49" w:id="51"/>
    <w:p>
      <w:pPr>
        <w:spacing w:after="0"/>
        <w:ind w:left="0"/>
        <w:jc w:val="left"/>
      </w:pPr>
      <w:r>
        <w:rPr>
          <w:rFonts w:ascii="Times New Roman"/>
          <w:b/>
          <w:i w:val="false"/>
          <w:color w:val="000000"/>
        </w:rPr>
        <w:t xml:space="preserve"> 6-бөлім. Қор қызметкерлерін КЖ/ТҚҚ мәселелері бойынша даярлау және оқыту бағдарламасы</w:t>
      </w:r>
    </w:p>
    <w:bookmarkEnd w:id="51"/>
    <w:bookmarkStart w:name="z50" w:id="52"/>
    <w:p>
      <w:pPr>
        <w:spacing w:after="0"/>
        <w:ind w:left="0"/>
        <w:jc w:val="both"/>
      </w:pPr>
      <w:r>
        <w:rPr>
          <w:rFonts w:ascii="Times New Roman"/>
          <w:b w:val="false"/>
          <w:i w:val="false"/>
          <w:color w:val="000000"/>
          <w:sz w:val="28"/>
        </w:rPr>
        <w:t>
      34. Қор қызметкерлерін КЖ/ТҚҚ мәселелері бойынша даярлау және оқыту бағдарламасының (бұдан әрі – Оқыту бағдарламасы) мақсаты қор қызметкерлерінің Қазақстан Республикасы заңнамасының талаптарын, сондай-ақ КЖ/ТҚҚ саласындағы ішкі бақылау қағидаларының және өзге де ішкі құжаттардың талаптарын орындау үшін қажетті білім алуы және дағдыларды қалыптастыруы болып табылады.</w:t>
      </w:r>
    </w:p>
    <w:bookmarkEnd w:id="52"/>
    <w:bookmarkStart w:name="z51" w:id="53"/>
    <w:p>
      <w:pPr>
        <w:spacing w:after="0"/>
        <w:ind w:left="0"/>
        <w:jc w:val="both"/>
      </w:pPr>
      <w:r>
        <w:rPr>
          <w:rFonts w:ascii="Times New Roman"/>
          <w:b w:val="false"/>
          <w:i w:val="false"/>
          <w:color w:val="000000"/>
          <w:sz w:val="28"/>
        </w:rPr>
        <w:t>
      35. Оқыту бағдарламасы КЖ/ТҚҚ туралы заңның 11-бабының 8-тармағында көрсетілген КЖ/ТҚҚ саласында даярлау және оқыту бойынша қаржы мониторингі субъектілеріне қойылатын талаптарға сәйкес әзірленеді.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