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b6dd" w14:textId="e29b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туралы" Қазақстан Республикасы Инвестициялар және даму министрінің міндетін атқарушының 2015 жылғы 25 тамыздағы № 883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2020 жылғы 15 қазандағы № 529 бұйрығы. Қазақстан Республикасының Әділет министрлігінде 2020 жылғы 21 қазанда № 21468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туралы" Қазақстан Республикасы Инвестициялар және даму министрінің міндетін атқарушының 2015 жылғы 25 тамыздағы № 883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12353 болып тіркелген, 2015 жылғы 11 желтоқсанда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Әлеуметтік маңызы бар жолаушылар тасымалдарын жүзеге асырумен байланысты тасымалдаушылардың шығындарын бюджет қаражаты есебінен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Мәселе туындаған жағдайда тариф анықтаудың дұрыстығын растау үшін Комиссия тасымалдаушыдан Әдістемеге 1-қосымша болып табылатын Жолаушыларды және багажды автомобильмен тұрақты тасымалдау тарифтерін қалыптастыруды экономикалық-математикалық моделі аясында тариф есептеуде қолданған құжаттар мен ақпаратты тек бір ғана рет сұратады.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отырысы нәтижесінде тариф анықтаудың дұрыстығын хаттамалық түрде растайды және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тасымалдаушыдан есептер түскен күннен бастап 15 жұмыс күні ішінде әлеуметтік мәні бар қатынастар тізбесін жасайды.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 жағдай және карантиндік шектеулер кезеңінде әлеуметтік маңызы бар жолаушылар тасымалын жүзеге асыруға байланысты тасымалдаушылардың шығындарын субсидиялау нақты тасымалданған жолаушыларды ескере отырып,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есептік тарифті анықтау жолымен жүзеге асырылады. Космиссия тариф анықтаудың дұрыстығын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тасымалдаушыдан төлемдер түскен күннен бастап 7 жұмыс күні ішінде растайды.";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4-тарауына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автобустың маршрут бойынша жалпы жылдық жүрісіне (км) сүйене отырып жолаушылар мен багажды тасымалдаудан түседі деп болжанған табыс және анықталған маршрут құны арасындағы айырмашылық ретінде айқындалған тасымалдарды орындаудан болған залал.";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бөлімі мынадай редакцияда жазылсын: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"Автобустың тұрақты тасымалын жүзеге асыру үшін маршруттың құны анықталған жағдайда,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4-тарауына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маршрут бойынша жүретін автобустардың жалпы жүрісі (км) тасымалдаушылардың залалын субсидиялауға кететін қаражат көлемі жоспарланған жолаушылар мен багаж тасымалдарының санынан түсетін табыстар және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4-тарауына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автобустың маршрут бойынша жалпы жылдық жүрісіне (км) сүйене отырып анықталған маршрут құны арасындағы айырмашылық ретінде айқындалады.";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анықталған сома негізінде тасымалдаушы мен жергілікті атқарушы орган арасында Әлеуметтік маңызы бар автомобиль қатынастарды субсидиялау туралы шарт жасалады (бұдан әрі - Шарт), ал қалалық (ауылдық) немесе қала маңы қатынастарында жолақыны электрондық төлеу жүйесін пайдаланған жағдайда тасымалдаушыға субсидияны төлеу үшін жергілікті атқарушы орган, тасымалдаушы және уәкілетті ұйымдар арасында шарт жасалады: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Қағидалармен анықталған міндеттерді;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жылдарға бөлінген үш жылға болжамдалған жолаушыларды тасымалдау санын;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жылдарға бөлінген үш жылға субсидиялау сомасын;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белгіленген тарифті (тарифтердің торын);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бойынша Әдістемеге сәйкес анықталған тарифті;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4-тарауына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маршрут бойынша жүретін автобустардың жалпы жылдық жүгірісіне (км.) сүйене отырып, маршруттық автобустың бағасын айқындау жағдайда жылдар қимасында үш жылғы бағдарда жүріп өткен болжамдық жиынтық жолын;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ұсынылған растаушы құжаттарға сәйкес келмегенде заңсыз түскен субсидияны қайтару туралы міндеттемесі.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ұсынылған растайтын құжаттарға сәйкес алынбаған субсидияларды төлету міндеттемесі.";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Әлеуметтік маңызы бар субсидияланатын қатынастар бойынша жергілікті бюджеттен субсидиялар төлеуді жергілікті атқарушы орган тоқсан сайын Шартқа сәйкес жүргізеді.".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инфрақұрылымдық даму министрлігінің Көлік комитеті заңнамада белгіленген тәртіппен: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Индустрия және инфрақұрылымдық даму министрлігінің интернет-ресурсында орналастыруды қамтамасыз етсін.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даму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